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9299F" w14:textId="2BBAAB8D" w:rsidR="00B15106" w:rsidRPr="00DD1154" w:rsidRDefault="001522B0" w:rsidP="00B211BF">
      <w:pPr>
        <w:jc w:val="center"/>
        <w:rPr>
          <w:b/>
        </w:rPr>
      </w:pPr>
      <w:r w:rsidRPr="00DD1154">
        <w:rPr>
          <w:b/>
        </w:rPr>
        <w:t>MINISTARSTVO GOSPODARSTVA I ODRŽIVOG RAZVOJA</w:t>
      </w:r>
    </w:p>
    <w:p w14:paraId="27FF0E0D" w14:textId="7A6C5C41" w:rsidR="00B211BF" w:rsidRPr="00DD1154" w:rsidRDefault="00B211BF" w:rsidP="00631FE1">
      <w:pPr>
        <w:pStyle w:val="Title"/>
        <w:spacing w:before="5160"/>
        <w:jc w:val="center"/>
        <w:rPr>
          <w:rFonts w:ascii="Times New Roman" w:eastAsia="Times New Roman" w:hAnsi="Times New Roman" w:cs="Times New Roman"/>
          <w:b/>
          <w:sz w:val="24"/>
          <w:szCs w:val="24"/>
          <w:lang w:eastAsia="hr-HR"/>
        </w:rPr>
      </w:pPr>
      <w:r w:rsidRPr="00DD1154">
        <w:rPr>
          <w:rFonts w:ascii="Times New Roman" w:hAnsi="Times New Roman" w:cs="Times New Roman"/>
          <w:b/>
          <w:sz w:val="24"/>
          <w:szCs w:val="24"/>
        </w:rPr>
        <w:t>IZVJEŠĆE</w:t>
      </w:r>
    </w:p>
    <w:p w14:paraId="04674E4F" w14:textId="0F21A4DB" w:rsidR="00631FE1" w:rsidRPr="00DD1154" w:rsidRDefault="00B211BF" w:rsidP="00631FE1">
      <w:pPr>
        <w:pStyle w:val="Title"/>
        <w:spacing w:after="6240"/>
        <w:jc w:val="center"/>
        <w:rPr>
          <w:rFonts w:ascii="Times New Roman" w:hAnsi="Times New Roman" w:cs="Times New Roman"/>
          <w:b/>
          <w:sz w:val="24"/>
          <w:szCs w:val="24"/>
        </w:rPr>
      </w:pPr>
      <w:r w:rsidRPr="00DD1154">
        <w:rPr>
          <w:rFonts w:ascii="Times New Roman" w:hAnsi="Times New Roman" w:cs="Times New Roman"/>
          <w:b/>
          <w:sz w:val="24"/>
          <w:szCs w:val="24"/>
        </w:rPr>
        <w:t xml:space="preserve">O KORIŠTENJU FINANCIJSKIH SREDSTAVA DOBIVENIH OD PRODAJE EMISIJSKIH JEDINICA PUTEM DRAŽBI U REPUBLICI HRVATSKOJ U </w:t>
      </w:r>
      <w:r w:rsidR="00054DBD" w:rsidRPr="00DD1154">
        <w:rPr>
          <w:rFonts w:ascii="Times New Roman" w:hAnsi="Times New Roman" w:cs="Times New Roman"/>
          <w:b/>
          <w:sz w:val="24"/>
          <w:szCs w:val="24"/>
        </w:rPr>
        <w:t xml:space="preserve">2019. </w:t>
      </w:r>
      <w:r w:rsidR="00C375EA" w:rsidRPr="00DD1154">
        <w:rPr>
          <w:rFonts w:ascii="Times New Roman" w:hAnsi="Times New Roman" w:cs="Times New Roman"/>
          <w:b/>
          <w:sz w:val="24"/>
          <w:szCs w:val="24"/>
        </w:rPr>
        <w:t>I</w:t>
      </w:r>
      <w:r w:rsidR="00054DBD" w:rsidRPr="00DD1154">
        <w:rPr>
          <w:rFonts w:ascii="Times New Roman" w:hAnsi="Times New Roman" w:cs="Times New Roman"/>
          <w:b/>
          <w:sz w:val="24"/>
          <w:szCs w:val="24"/>
        </w:rPr>
        <w:t xml:space="preserve"> </w:t>
      </w:r>
      <w:r w:rsidR="005A4F7F" w:rsidRPr="00DD1154">
        <w:rPr>
          <w:rFonts w:ascii="Times New Roman" w:hAnsi="Times New Roman" w:cs="Times New Roman"/>
          <w:b/>
          <w:sz w:val="24"/>
          <w:szCs w:val="24"/>
        </w:rPr>
        <w:t>2020</w:t>
      </w:r>
      <w:r w:rsidR="00E26726" w:rsidRPr="00DD1154">
        <w:rPr>
          <w:rFonts w:ascii="Times New Roman" w:hAnsi="Times New Roman" w:cs="Times New Roman"/>
          <w:b/>
          <w:sz w:val="24"/>
          <w:szCs w:val="24"/>
        </w:rPr>
        <w:t xml:space="preserve">. </w:t>
      </w:r>
      <w:bookmarkStart w:id="0" w:name="_GoBack"/>
      <w:bookmarkEnd w:id="0"/>
    </w:p>
    <w:p w14:paraId="4F73FB72" w14:textId="5369E53C" w:rsidR="00E413FF" w:rsidRPr="00DD1154" w:rsidRDefault="00631FE1" w:rsidP="00E413FF">
      <w:pPr>
        <w:jc w:val="center"/>
        <w:rPr>
          <w:b/>
        </w:rPr>
      </w:pPr>
      <w:r w:rsidRPr="00DD1154">
        <w:rPr>
          <w:b/>
        </w:rPr>
        <w:t xml:space="preserve">Zagreb, </w:t>
      </w:r>
      <w:r w:rsidR="000D7045">
        <w:rPr>
          <w:b/>
        </w:rPr>
        <w:t xml:space="preserve">rujan </w:t>
      </w:r>
      <w:r w:rsidR="00764AEC">
        <w:rPr>
          <w:b/>
        </w:rPr>
        <w:t>2022</w:t>
      </w:r>
      <w:r w:rsidR="003C3259" w:rsidRPr="00DD1154">
        <w:rPr>
          <w:b/>
        </w:rPr>
        <w:t>.</w:t>
      </w:r>
    </w:p>
    <w:p w14:paraId="01DA4C5E" w14:textId="77777777" w:rsidR="00E413FF" w:rsidRPr="00DD1154" w:rsidRDefault="00E413FF">
      <w:pPr>
        <w:jc w:val="left"/>
        <w:rPr>
          <w:b/>
        </w:rPr>
      </w:pPr>
      <w:r w:rsidRPr="00DD1154">
        <w:rPr>
          <w:b/>
        </w:rPr>
        <w:lastRenderedPageBreak/>
        <w:br w:type="page"/>
      </w:r>
    </w:p>
    <w:sdt>
      <w:sdtPr>
        <w:rPr>
          <w:rFonts w:eastAsiaTheme="minorHAnsi"/>
          <w:b w:val="0"/>
          <w:bCs w:val="0"/>
          <w:sz w:val="24"/>
          <w:szCs w:val="24"/>
          <w:lang w:eastAsia="en-US"/>
        </w:rPr>
        <w:id w:val="-27343745"/>
        <w:docPartObj>
          <w:docPartGallery w:val="Table of Contents"/>
          <w:docPartUnique/>
        </w:docPartObj>
      </w:sdtPr>
      <w:sdtEndPr/>
      <w:sdtContent>
        <w:p w14:paraId="6A11F97A" w14:textId="76C1ADA6" w:rsidR="00E413FF" w:rsidRPr="00DD1154" w:rsidRDefault="00E413FF" w:rsidP="00E413FF">
          <w:pPr>
            <w:pStyle w:val="TOCHeading"/>
            <w:numPr>
              <w:ilvl w:val="0"/>
              <w:numId w:val="0"/>
            </w:numPr>
            <w:ind w:left="567" w:hanging="567"/>
          </w:pPr>
          <w:r w:rsidRPr="00DD1154">
            <w:t>Sadržaj</w:t>
          </w:r>
        </w:p>
        <w:p w14:paraId="6FB87F8A" w14:textId="393900E7" w:rsidR="00E413FF" w:rsidRPr="00DD1154" w:rsidRDefault="00E413FF">
          <w:pPr>
            <w:pStyle w:val="TOC1"/>
            <w:tabs>
              <w:tab w:val="left" w:pos="440"/>
              <w:tab w:val="right" w:leader="dot" w:pos="9062"/>
            </w:tabs>
            <w:rPr>
              <w:rFonts w:eastAsiaTheme="minorEastAsia"/>
              <w:noProof/>
              <w:sz w:val="22"/>
              <w:szCs w:val="22"/>
              <w:lang w:eastAsia="hr-HR"/>
            </w:rPr>
          </w:pPr>
          <w:r w:rsidRPr="00DD1154">
            <w:fldChar w:fldCharType="begin"/>
          </w:r>
          <w:r w:rsidRPr="00DD1154">
            <w:instrText xml:space="preserve"> TOC \o "1-3" \h \z \u </w:instrText>
          </w:r>
          <w:r w:rsidRPr="00DD1154">
            <w:fldChar w:fldCharType="separate"/>
          </w:r>
          <w:hyperlink w:anchor="_Toc89261067" w:history="1">
            <w:r w:rsidRPr="00DD1154">
              <w:rPr>
                <w:rStyle w:val="Hyperlink"/>
                <w:noProof/>
              </w:rPr>
              <w:t>1.</w:t>
            </w:r>
            <w:r w:rsidRPr="00DD1154">
              <w:rPr>
                <w:rFonts w:eastAsiaTheme="minorEastAsia"/>
                <w:noProof/>
                <w:sz w:val="22"/>
                <w:szCs w:val="22"/>
                <w:lang w:eastAsia="hr-HR"/>
              </w:rPr>
              <w:tab/>
            </w:r>
            <w:r w:rsidRPr="00DD1154">
              <w:rPr>
                <w:rStyle w:val="Hyperlink"/>
                <w:noProof/>
              </w:rPr>
              <w:t>UVOD</w:t>
            </w:r>
            <w:r w:rsidRPr="00DD1154">
              <w:rPr>
                <w:noProof/>
                <w:webHidden/>
              </w:rPr>
              <w:tab/>
            </w:r>
            <w:r w:rsidRPr="00DD1154">
              <w:rPr>
                <w:noProof/>
                <w:webHidden/>
              </w:rPr>
              <w:fldChar w:fldCharType="begin"/>
            </w:r>
            <w:r w:rsidRPr="00DD1154">
              <w:rPr>
                <w:noProof/>
                <w:webHidden/>
              </w:rPr>
              <w:instrText xml:space="preserve"> PAGEREF _Toc89261067 \h </w:instrText>
            </w:r>
            <w:r w:rsidRPr="00DD1154">
              <w:rPr>
                <w:noProof/>
                <w:webHidden/>
              </w:rPr>
            </w:r>
            <w:r w:rsidRPr="00DD1154">
              <w:rPr>
                <w:noProof/>
                <w:webHidden/>
              </w:rPr>
              <w:fldChar w:fldCharType="separate"/>
            </w:r>
            <w:r w:rsidR="000532CC">
              <w:rPr>
                <w:noProof/>
                <w:webHidden/>
              </w:rPr>
              <w:t>3</w:t>
            </w:r>
            <w:r w:rsidRPr="00DD1154">
              <w:rPr>
                <w:noProof/>
                <w:webHidden/>
              </w:rPr>
              <w:fldChar w:fldCharType="end"/>
            </w:r>
          </w:hyperlink>
        </w:p>
        <w:p w14:paraId="1401D10A" w14:textId="4A3BF15D" w:rsidR="00E413FF" w:rsidRPr="00DD1154" w:rsidRDefault="00606B19">
          <w:pPr>
            <w:pStyle w:val="TOC1"/>
            <w:tabs>
              <w:tab w:val="left" w:pos="440"/>
              <w:tab w:val="right" w:leader="dot" w:pos="9062"/>
            </w:tabs>
            <w:rPr>
              <w:rFonts w:eastAsiaTheme="minorEastAsia"/>
              <w:noProof/>
              <w:sz w:val="22"/>
              <w:szCs w:val="22"/>
              <w:lang w:eastAsia="hr-HR"/>
            </w:rPr>
          </w:pPr>
          <w:hyperlink w:anchor="_Toc89261068" w:history="1">
            <w:r w:rsidR="00E413FF" w:rsidRPr="00DD1154">
              <w:rPr>
                <w:rStyle w:val="Hyperlink"/>
                <w:noProof/>
              </w:rPr>
              <w:t>2.</w:t>
            </w:r>
            <w:r w:rsidR="00E413FF" w:rsidRPr="00DD1154">
              <w:rPr>
                <w:rFonts w:eastAsiaTheme="minorEastAsia"/>
                <w:noProof/>
                <w:sz w:val="22"/>
                <w:szCs w:val="22"/>
                <w:lang w:eastAsia="hr-HR"/>
              </w:rPr>
              <w:tab/>
            </w:r>
            <w:r w:rsidR="00E413FF" w:rsidRPr="00DD1154">
              <w:rPr>
                <w:rStyle w:val="Hyperlink"/>
                <w:noProof/>
              </w:rPr>
              <w:t>Alokacija financijskih sredstava dobivenih prodajom emisijskih jedinica stakleničkih plinova putem dražbi u 2019. i 2020. godini</w:t>
            </w:r>
            <w:r w:rsidR="00E413FF" w:rsidRPr="00DD1154">
              <w:rPr>
                <w:noProof/>
                <w:webHidden/>
              </w:rPr>
              <w:tab/>
            </w:r>
            <w:r w:rsidR="00E413FF" w:rsidRPr="00DD1154">
              <w:rPr>
                <w:noProof/>
                <w:webHidden/>
              </w:rPr>
              <w:fldChar w:fldCharType="begin"/>
            </w:r>
            <w:r w:rsidR="00E413FF" w:rsidRPr="00DD1154">
              <w:rPr>
                <w:noProof/>
                <w:webHidden/>
              </w:rPr>
              <w:instrText xml:space="preserve"> PAGEREF _Toc89261068 \h </w:instrText>
            </w:r>
            <w:r w:rsidR="00E413FF" w:rsidRPr="00DD1154">
              <w:rPr>
                <w:noProof/>
                <w:webHidden/>
              </w:rPr>
            </w:r>
            <w:r w:rsidR="00E413FF" w:rsidRPr="00DD1154">
              <w:rPr>
                <w:noProof/>
                <w:webHidden/>
              </w:rPr>
              <w:fldChar w:fldCharType="separate"/>
            </w:r>
            <w:r w:rsidR="000532CC">
              <w:rPr>
                <w:noProof/>
                <w:webHidden/>
              </w:rPr>
              <w:t>8</w:t>
            </w:r>
            <w:r w:rsidR="00E413FF" w:rsidRPr="00DD1154">
              <w:rPr>
                <w:noProof/>
                <w:webHidden/>
              </w:rPr>
              <w:fldChar w:fldCharType="end"/>
            </w:r>
          </w:hyperlink>
        </w:p>
        <w:p w14:paraId="24BD2282" w14:textId="49060F07" w:rsidR="00E413FF" w:rsidRPr="00DD1154" w:rsidRDefault="00606B19">
          <w:pPr>
            <w:pStyle w:val="TOC2"/>
            <w:tabs>
              <w:tab w:val="left" w:pos="880"/>
              <w:tab w:val="right" w:leader="dot" w:pos="9062"/>
            </w:tabs>
            <w:rPr>
              <w:rFonts w:ascii="Times New Roman" w:hAnsi="Times New Roman" w:cs="Times New Roman"/>
              <w:noProof/>
            </w:rPr>
          </w:pPr>
          <w:hyperlink w:anchor="_Toc89261069" w:history="1">
            <w:r w:rsidR="00E413FF" w:rsidRPr="00DD1154">
              <w:rPr>
                <w:rStyle w:val="Hyperlink"/>
                <w:rFonts w:ascii="Times New Roman" w:hAnsi="Times New Roman" w:cs="Times New Roman"/>
                <w:noProof/>
              </w:rPr>
              <w:t>2.1.</w:t>
            </w:r>
            <w:r w:rsidR="00E413FF" w:rsidRPr="00DD1154">
              <w:rPr>
                <w:rFonts w:ascii="Times New Roman" w:hAnsi="Times New Roman" w:cs="Times New Roman"/>
                <w:noProof/>
              </w:rPr>
              <w:tab/>
            </w:r>
            <w:r w:rsidR="00E413FF" w:rsidRPr="00DD1154">
              <w:rPr>
                <w:rStyle w:val="Hyperlink"/>
                <w:rFonts w:ascii="Times New Roman" w:hAnsi="Times New Roman" w:cs="Times New Roman"/>
                <w:noProof/>
              </w:rPr>
              <w:t>Mjere korištenja obnovljivih izvora energije (OI)</w:t>
            </w:r>
            <w:r w:rsidR="00E413FF" w:rsidRPr="00DD1154">
              <w:rPr>
                <w:rFonts w:ascii="Times New Roman" w:hAnsi="Times New Roman" w:cs="Times New Roman"/>
                <w:noProof/>
                <w:webHidden/>
              </w:rPr>
              <w:tab/>
            </w:r>
            <w:r w:rsidR="00E413FF" w:rsidRPr="00DD1154">
              <w:rPr>
                <w:rFonts w:ascii="Times New Roman" w:hAnsi="Times New Roman" w:cs="Times New Roman"/>
                <w:noProof/>
                <w:webHidden/>
              </w:rPr>
              <w:fldChar w:fldCharType="begin"/>
            </w:r>
            <w:r w:rsidR="00E413FF" w:rsidRPr="00DD1154">
              <w:rPr>
                <w:rFonts w:ascii="Times New Roman" w:hAnsi="Times New Roman" w:cs="Times New Roman"/>
                <w:noProof/>
                <w:webHidden/>
              </w:rPr>
              <w:instrText xml:space="preserve"> PAGEREF _Toc89261069 \h </w:instrText>
            </w:r>
            <w:r w:rsidR="00E413FF" w:rsidRPr="00DD1154">
              <w:rPr>
                <w:rFonts w:ascii="Times New Roman" w:hAnsi="Times New Roman" w:cs="Times New Roman"/>
                <w:noProof/>
                <w:webHidden/>
              </w:rPr>
            </w:r>
            <w:r w:rsidR="00E413FF" w:rsidRPr="00DD1154">
              <w:rPr>
                <w:rFonts w:ascii="Times New Roman" w:hAnsi="Times New Roman" w:cs="Times New Roman"/>
                <w:noProof/>
                <w:webHidden/>
              </w:rPr>
              <w:fldChar w:fldCharType="separate"/>
            </w:r>
            <w:r w:rsidR="000532CC">
              <w:rPr>
                <w:rFonts w:ascii="Times New Roman" w:hAnsi="Times New Roman" w:cs="Times New Roman"/>
                <w:noProof/>
                <w:webHidden/>
              </w:rPr>
              <w:t>8</w:t>
            </w:r>
            <w:r w:rsidR="00E413FF" w:rsidRPr="00DD1154">
              <w:rPr>
                <w:rFonts w:ascii="Times New Roman" w:hAnsi="Times New Roman" w:cs="Times New Roman"/>
                <w:noProof/>
                <w:webHidden/>
              </w:rPr>
              <w:fldChar w:fldCharType="end"/>
            </w:r>
          </w:hyperlink>
        </w:p>
        <w:p w14:paraId="06E19FB6" w14:textId="7DB6A691" w:rsidR="00E413FF" w:rsidRPr="00DD1154" w:rsidRDefault="00606B19">
          <w:pPr>
            <w:pStyle w:val="TOC2"/>
            <w:tabs>
              <w:tab w:val="left" w:pos="880"/>
              <w:tab w:val="right" w:leader="dot" w:pos="9062"/>
            </w:tabs>
            <w:rPr>
              <w:rFonts w:ascii="Times New Roman" w:hAnsi="Times New Roman" w:cs="Times New Roman"/>
              <w:noProof/>
            </w:rPr>
          </w:pPr>
          <w:hyperlink w:anchor="_Toc89261070" w:history="1">
            <w:r w:rsidR="00E413FF" w:rsidRPr="00DD1154">
              <w:rPr>
                <w:rStyle w:val="Hyperlink"/>
                <w:rFonts w:ascii="Times New Roman" w:hAnsi="Times New Roman" w:cs="Times New Roman"/>
                <w:noProof/>
              </w:rPr>
              <w:t>2.2.</w:t>
            </w:r>
            <w:r w:rsidR="00E413FF" w:rsidRPr="00DD1154">
              <w:rPr>
                <w:rFonts w:ascii="Times New Roman" w:hAnsi="Times New Roman" w:cs="Times New Roman"/>
                <w:noProof/>
              </w:rPr>
              <w:tab/>
            </w:r>
            <w:r w:rsidR="00E413FF" w:rsidRPr="00DD1154">
              <w:rPr>
                <w:rStyle w:val="Hyperlink"/>
                <w:rFonts w:ascii="Times New Roman" w:hAnsi="Times New Roman" w:cs="Times New Roman"/>
                <w:noProof/>
              </w:rPr>
              <w:t>Povećanje energetske učinkovitosti (ENU)</w:t>
            </w:r>
            <w:r w:rsidR="00E413FF" w:rsidRPr="00DD1154">
              <w:rPr>
                <w:rFonts w:ascii="Times New Roman" w:hAnsi="Times New Roman" w:cs="Times New Roman"/>
                <w:noProof/>
                <w:webHidden/>
              </w:rPr>
              <w:tab/>
            </w:r>
            <w:r w:rsidR="00E413FF" w:rsidRPr="00DD1154">
              <w:rPr>
                <w:rFonts w:ascii="Times New Roman" w:hAnsi="Times New Roman" w:cs="Times New Roman"/>
                <w:noProof/>
                <w:webHidden/>
              </w:rPr>
              <w:fldChar w:fldCharType="begin"/>
            </w:r>
            <w:r w:rsidR="00E413FF" w:rsidRPr="00DD1154">
              <w:rPr>
                <w:rFonts w:ascii="Times New Roman" w:hAnsi="Times New Roman" w:cs="Times New Roman"/>
                <w:noProof/>
                <w:webHidden/>
              </w:rPr>
              <w:instrText xml:space="preserve"> PAGEREF _Toc89261070 \h </w:instrText>
            </w:r>
            <w:r w:rsidR="00E413FF" w:rsidRPr="00DD1154">
              <w:rPr>
                <w:rFonts w:ascii="Times New Roman" w:hAnsi="Times New Roman" w:cs="Times New Roman"/>
                <w:noProof/>
                <w:webHidden/>
              </w:rPr>
            </w:r>
            <w:r w:rsidR="00E413FF" w:rsidRPr="00DD1154">
              <w:rPr>
                <w:rFonts w:ascii="Times New Roman" w:hAnsi="Times New Roman" w:cs="Times New Roman"/>
                <w:noProof/>
                <w:webHidden/>
              </w:rPr>
              <w:fldChar w:fldCharType="separate"/>
            </w:r>
            <w:r w:rsidR="000532CC">
              <w:rPr>
                <w:rFonts w:ascii="Times New Roman" w:hAnsi="Times New Roman" w:cs="Times New Roman"/>
                <w:noProof/>
                <w:webHidden/>
              </w:rPr>
              <w:t>10</w:t>
            </w:r>
            <w:r w:rsidR="00E413FF" w:rsidRPr="00DD1154">
              <w:rPr>
                <w:rFonts w:ascii="Times New Roman" w:hAnsi="Times New Roman" w:cs="Times New Roman"/>
                <w:noProof/>
                <w:webHidden/>
              </w:rPr>
              <w:fldChar w:fldCharType="end"/>
            </w:r>
          </w:hyperlink>
        </w:p>
        <w:p w14:paraId="18B8AB5D" w14:textId="02A1110B" w:rsidR="00E413FF" w:rsidRPr="00DD1154" w:rsidRDefault="00606B19">
          <w:pPr>
            <w:pStyle w:val="TOC2"/>
            <w:tabs>
              <w:tab w:val="left" w:pos="880"/>
              <w:tab w:val="right" w:leader="dot" w:pos="9062"/>
            </w:tabs>
            <w:rPr>
              <w:rFonts w:ascii="Times New Roman" w:hAnsi="Times New Roman" w:cs="Times New Roman"/>
              <w:noProof/>
            </w:rPr>
          </w:pPr>
          <w:hyperlink w:anchor="_Toc89261071" w:history="1">
            <w:r w:rsidR="00E413FF" w:rsidRPr="00DD1154">
              <w:rPr>
                <w:rStyle w:val="Hyperlink"/>
                <w:rFonts w:ascii="Times New Roman" w:hAnsi="Times New Roman" w:cs="Times New Roman"/>
                <w:noProof/>
              </w:rPr>
              <w:t>2.3.</w:t>
            </w:r>
            <w:r w:rsidR="00E413FF" w:rsidRPr="00DD1154">
              <w:rPr>
                <w:rFonts w:ascii="Times New Roman" w:hAnsi="Times New Roman" w:cs="Times New Roman"/>
                <w:noProof/>
              </w:rPr>
              <w:tab/>
            </w:r>
            <w:r w:rsidR="00E413FF" w:rsidRPr="00DD1154">
              <w:rPr>
                <w:rStyle w:val="Hyperlink"/>
                <w:rFonts w:ascii="Times New Roman" w:hAnsi="Times New Roman" w:cs="Times New Roman"/>
                <w:noProof/>
              </w:rPr>
              <w:t>Energetsko siromaštvo (ENS)</w:t>
            </w:r>
            <w:r w:rsidR="00E413FF" w:rsidRPr="00DD1154">
              <w:rPr>
                <w:rFonts w:ascii="Times New Roman" w:hAnsi="Times New Roman" w:cs="Times New Roman"/>
                <w:noProof/>
                <w:webHidden/>
              </w:rPr>
              <w:tab/>
            </w:r>
            <w:r w:rsidR="00E413FF" w:rsidRPr="00DD1154">
              <w:rPr>
                <w:rFonts w:ascii="Times New Roman" w:hAnsi="Times New Roman" w:cs="Times New Roman"/>
                <w:noProof/>
                <w:webHidden/>
              </w:rPr>
              <w:fldChar w:fldCharType="begin"/>
            </w:r>
            <w:r w:rsidR="00E413FF" w:rsidRPr="00DD1154">
              <w:rPr>
                <w:rFonts w:ascii="Times New Roman" w:hAnsi="Times New Roman" w:cs="Times New Roman"/>
                <w:noProof/>
                <w:webHidden/>
              </w:rPr>
              <w:instrText xml:space="preserve"> PAGEREF _Toc89261071 \h </w:instrText>
            </w:r>
            <w:r w:rsidR="00E413FF" w:rsidRPr="00DD1154">
              <w:rPr>
                <w:rFonts w:ascii="Times New Roman" w:hAnsi="Times New Roman" w:cs="Times New Roman"/>
                <w:noProof/>
                <w:webHidden/>
              </w:rPr>
            </w:r>
            <w:r w:rsidR="00E413FF" w:rsidRPr="00DD1154">
              <w:rPr>
                <w:rFonts w:ascii="Times New Roman" w:hAnsi="Times New Roman" w:cs="Times New Roman"/>
                <w:noProof/>
                <w:webHidden/>
              </w:rPr>
              <w:fldChar w:fldCharType="separate"/>
            </w:r>
            <w:r w:rsidR="000532CC">
              <w:rPr>
                <w:rFonts w:ascii="Times New Roman" w:hAnsi="Times New Roman" w:cs="Times New Roman"/>
                <w:noProof/>
                <w:webHidden/>
              </w:rPr>
              <w:t>12</w:t>
            </w:r>
            <w:r w:rsidR="00E413FF" w:rsidRPr="00DD1154">
              <w:rPr>
                <w:rFonts w:ascii="Times New Roman" w:hAnsi="Times New Roman" w:cs="Times New Roman"/>
                <w:noProof/>
                <w:webHidden/>
              </w:rPr>
              <w:fldChar w:fldCharType="end"/>
            </w:r>
          </w:hyperlink>
        </w:p>
        <w:p w14:paraId="7F92C2A2" w14:textId="3BBF286A" w:rsidR="00E413FF" w:rsidRPr="00DD1154" w:rsidRDefault="00606B19">
          <w:pPr>
            <w:pStyle w:val="TOC2"/>
            <w:tabs>
              <w:tab w:val="left" w:pos="880"/>
              <w:tab w:val="right" w:leader="dot" w:pos="9062"/>
            </w:tabs>
            <w:rPr>
              <w:rFonts w:ascii="Times New Roman" w:hAnsi="Times New Roman" w:cs="Times New Roman"/>
              <w:noProof/>
            </w:rPr>
          </w:pPr>
          <w:hyperlink w:anchor="_Toc89261072" w:history="1">
            <w:r w:rsidR="00E413FF" w:rsidRPr="00DD1154">
              <w:rPr>
                <w:rStyle w:val="Hyperlink"/>
                <w:rFonts w:ascii="Times New Roman" w:hAnsi="Times New Roman" w:cs="Times New Roman"/>
                <w:noProof/>
              </w:rPr>
              <w:t>2.4.</w:t>
            </w:r>
            <w:r w:rsidR="00E413FF" w:rsidRPr="00DD1154">
              <w:rPr>
                <w:rFonts w:ascii="Times New Roman" w:hAnsi="Times New Roman" w:cs="Times New Roman"/>
                <w:noProof/>
              </w:rPr>
              <w:tab/>
            </w:r>
            <w:r w:rsidR="00E413FF" w:rsidRPr="00DD1154">
              <w:rPr>
                <w:rStyle w:val="Hyperlink"/>
                <w:rFonts w:ascii="Times New Roman" w:hAnsi="Times New Roman" w:cs="Times New Roman"/>
                <w:noProof/>
              </w:rPr>
              <w:t>Smanjenje emisija stakleničkih plinova u prometu (PR)</w:t>
            </w:r>
            <w:r w:rsidR="00E413FF" w:rsidRPr="00DD1154">
              <w:rPr>
                <w:rFonts w:ascii="Times New Roman" w:hAnsi="Times New Roman" w:cs="Times New Roman"/>
                <w:noProof/>
                <w:webHidden/>
              </w:rPr>
              <w:tab/>
            </w:r>
            <w:r w:rsidR="00E413FF" w:rsidRPr="00DD1154">
              <w:rPr>
                <w:rFonts w:ascii="Times New Roman" w:hAnsi="Times New Roman" w:cs="Times New Roman"/>
                <w:noProof/>
                <w:webHidden/>
              </w:rPr>
              <w:fldChar w:fldCharType="begin"/>
            </w:r>
            <w:r w:rsidR="00E413FF" w:rsidRPr="00DD1154">
              <w:rPr>
                <w:rFonts w:ascii="Times New Roman" w:hAnsi="Times New Roman" w:cs="Times New Roman"/>
                <w:noProof/>
                <w:webHidden/>
              </w:rPr>
              <w:instrText xml:space="preserve"> PAGEREF _Toc89261072 \h </w:instrText>
            </w:r>
            <w:r w:rsidR="00E413FF" w:rsidRPr="00DD1154">
              <w:rPr>
                <w:rFonts w:ascii="Times New Roman" w:hAnsi="Times New Roman" w:cs="Times New Roman"/>
                <w:noProof/>
                <w:webHidden/>
              </w:rPr>
            </w:r>
            <w:r w:rsidR="00E413FF" w:rsidRPr="00DD1154">
              <w:rPr>
                <w:rFonts w:ascii="Times New Roman" w:hAnsi="Times New Roman" w:cs="Times New Roman"/>
                <w:noProof/>
                <w:webHidden/>
              </w:rPr>
              <w:fldChar w:fldCharType="separate"/>
            </w:r>
            <w:r w:rsidR="000532CC">
              <w:rPr>
                <w:rFonts w:ascii="Times New Roman" w:hAnsi="Times New Roman" w:cs="Times New Roman"/>
                <w:noProof/>
                <w:webHidden/>
              </w:rPr>
              <w:t>13</w:t>
            </w:r>
            <w:r w:rsidR="00E413FF" w:rsidRPr="00DD1154">
              <w:rPr>
                <w:rFonts w:ascii="Times New Roman" w:hAnsi="Times New Roman" w:cs="Times New Roman"/>
                <w:noProof/>
                <w:webHidden/>
              </w:rPr>
              <w:fldChar w:fldCharType="end"/>
            </w:r>
          </w:hyperlink>
        </w:p>
        <w:p w14:paraId="3C41B55E" w14:textId="17FFF3CD" w:rsidR="00E413FF" w:rsidRPr="00DD1154" w:rsidRDefault="00606B19">
          <w:pPr>
            <w:pStyle w:val="TOC2"/>
            <w:tabs>
              <w:tab w:val="left" w:pos="880"/>
              <w:tab w:val="right" w:leader="dot" w:pos="9062"/>
            </w:tabs>
            <w:rPr>
              <w:rFonts w:ascii="Times New Roman" w:hAnsi="Times New Roman" w:cs="Times New Roman"/>
              <w:noProof/>
            </w:rPr>
          </w:pPr>
          <w:hyperlink w:anchor="_Toc89261073" w:history="1">
            <w:r w:rsidR="00E413FF" w:rsidRPr="00DD1154">
              <w:rPr>
                <w:rStyle w:val="Hyperlink"/>
                <w:rFonts w:ascii="Times New Roman" w:hAnsi="Times New Roman" w:cs="Times New Roman"/>
                <w:noProof/>
              </w:rPr>
              <w:t>2.5.</w:t>
            </w:r>
            <w:r w:rsidR="00E413FF" w:rsidRPr="00DD1154">
              <w:rPr>
                <w:rFonts w:ascii="Times New Roman" w:hAnsi="Times New Roman" w:cs="Times New Roman"/>
                <w:noProof/>
              </w:rPr>
              <w:tab/>
            </w:r>
            <w:r w:rsidR="00E413FF" w:rsidRPr="00DD1154">
              <w:rPr>
                <w:rStyle w:val="Hyperlink"/>
                <w:rFonts w:ascii="Times New Roman" w:hAnsi="Times New Roman" w:cs="Times New Roman"/>
                <w:noProof/>
              </w:rPr>
              <w:t>Smanjenje emisije stakleničkih plinova u neenergetskim sektorima (NES/OT)</w:t>
            </w:r>
            <w:r w:rsidR="00E413FF" w:rsidRPr="00DD1154">
              <w:rPr>
                <w:rFonts w:ascii="Times New Roman" w:hAnsi="Times New Roman" w:cs="Times New Roman"/>
                <w:noProof/>
                <w:webHidden/>
              </w:rPr>
              <w:tab/>
            </w:r>
            <w:r w:rsidR="00E413FF" w:rsidRPr="00DD1154">
              <w:rPr>
                <w:rFonts w:ascii="Times New Roman" w:hAnsi="Times New Roman" w:cs="Times New Roman"/>
                <w:noProof/>
                <w:webHidden/>
              </w:rPr>
              <w:fldChar w:fldCharType="begin"/>
            </w:r>
            <w:r w:rsidR="00E413FF" w:rsidRPr="00DD1154">
              <w:rPr>
                <w:rFonts w:ascii="Times New Roman" w:hAnsi="Times New Roman" w:cs="Times New Roman"/>
                <w:noProof/>
                <w:webHidden/>
              </w:rPr>
              <w:instrText xml:space="preserve"> PAGEREF _Toc89261073 \h </w:instrText>
            </w:r>
            <w:r w:rsidR="00E413FF" w:rsidRPr="00DD1154">
              <w:rPr>
                <w:rFonts w:ascii="Times New Roman" w:hAnsi="Times New Roman" w:cs="Times New Roman"/>
                <w:noProof/>
                <w:webHidden/>
              </w:rPr>
            </w:r>
            <w:r w:rsidR="00E413FF" w:rsidRPr="00DD1154">
              <w:rPr>
                <w:rFonts w:ascii="Times New Roman" w:hAnsi="Times New Roman" w:cs="Times New Roman"/>
                <w:noProof/>
                <w:webHidden/>
              </w:rPr>
              <w:fldChar w:fldCharType="separate"/>
            </w:r>
            <w:r w:rsidR="000532CC">
              <w:rPr>
                <w:rFonts w:ascii="Times New Roman" w:hAnsi="Times New Roman" w:cs="Times New Roman"/>
                <w:noProof/>
                <w:webHidden/>
              </w:rPr>
              <w:t>14</w:t>
            </w:r>
            <w:r w:rsidR="00E413FF" w:rsidRPr="00DD1154">
              <w:rPr>
                <w:rFonts w:ascii="Times New Roman" w:hAnsi="Times New Roman" w:cs="Times New Roman"/>
                <w:noProof/>
                <w:webHidden/>
              </w:rPr>
              <w:fldChar w:fldCharType="end"/>
            </w:r>
          </w:hyperlink>
        </w:p>
        <w:p w14:paraId="3FD79C02" w14:textId="0B8B7408" w:rsidR="00E413FF" w:rsidRPr="00DD1154" w:rsidRDefault="00606B19">
          <w:pPr>
            <w:pStyle w:val="TOC2"/>
            <w:tabs>
              <w:tab w:val="left" w:pos="880"/>
              <w:tab w:val="right" w:leader="dot" w:pos="9062"/>
            </w:tabs>
            <w:rPr>
              <w:rFonts w:ascii="Times New Roman" w:hAnsi="Times New Roman" w:cs="Times New Roman"/>
              <w:noProof/>
            </w:rPr>
          </w:pPr>
          <w:hyperlink w:anchor="_Toc89261074" w:history="1">
            <w:r w:rsidR="00E413FF" w:rsidRPr="00DD1154">
              <w:rPr>
                <w:rStyle w:val="Hyperlink"/>
                <w:rFonts w:ascii="Times New Roman" w:hAnsi="Times New Roman" w:cs="Times New Roman"/>
                <w:noProof/>
              </w:rPr>
              <w:t>2.6.</w:t>
            </w:r>
            <w:r w:rsidR="00E413FF" w:rsidRPr="00DD1154">
              <w:rPr>
                <w:rFonts w:ascii="Times New Roman" w:hAnsi="Times New Roman" w:cs="Times New Roman"/>
                <w:noProof/>
              </w:rPr>
              <w:tab/>
            </w:r>
            <w:r w:rsidR="00E413FF" w:rsidRPr="00DD1154">
              <w:rPr>
                <w:rStyle w:val="Hyperlink"/>
                <w:rFonts w:ascii="Times New Roman" w:hAnsi="Times New Roman" w:cs="Times New Roman"/>
                <w:noProof/>
              </w:rPr>
              <w:t>Projekti ESI fondova i prioritetne mjere prilagodbe klimatskim promjenama (ESIF)</w:t>
            </w:r>
            <w:r w:rsidR="00E413FF" w:rsidRPr="00DD1154">
              <w:rPr>
                <w:rFonts w:ascii="Times New Roman" w:hAnsi="Times New Roman" w:cs="Times New Roman"/>
                <w:noProof/>
                <w:webHidden/>
              </w:rPr>
              <w:tab/>
            </w:r>
            <w:r w:rsidR="00E413FF" w:rsidRPr="00DD1154">
              <w:rPr>
                <w:rFonts w:ascii="Times New Roman" w:hAnsi="Times New Roman" w:cs="Times New Roman"/>
                <w:noProof/>
                <w:webHidden/>
              </w:rPr>
              <w:fldChar w:fldCharType="begin"/>
            </w:r>
            <w:r w:rsidR="00E413FF" w:rsidRPr="00DD1154">
              <w:rPr>
                <w:rFonts w:ascii="Times New Roman" w:hAnsi="Times New Roman" w:cs="Times New Roman"/>
                <w:noProof/>
                <w:webHidden/>
              </w:rPr>
              <w:instrText xml:space="preserve"> PAGEREF _Toc89261074 \h </w:instrText>
            </w:r>
            <w:r w:rsidR="00E413FF" w:rsidRPr="00DD1154">
              <w:rPr>
                <w:rFonts w:ascii="Times New Roman" w:hAnsi="Times New Roman" w:cs="Times New Roman"/>
                <w:noProof/>
                <w:webHidden/>
              </w:rPr>
            </w:r>
            <w:r w:rsidR="00E413FF" w:rsidRPr="00DD1154">
              <w:rPr>
                <w:rFonts w:ascii="Times New Roman" w:hAnsi="Times New Roman" w:cs="Times New Roman"/>
                <w:noProof/>
                <w:webHidden/>
              </w:rPr>
              <w:fldChar w:fldCharType="separate"/>
            </w:r>
            <w:r w:rsidR="000532CC">
              <w:rPr>
                <w:rFonts w:ascii="Times New Roman" w:hAnsi="Times New Roman" w:cs="Times New Roman"/>
                <w:noProof/>
                <w:webHidden/>
              </w:rPr>
              <w:t>17</w:t>
            </w:r>
            <w:r w:rsidR="00E413FF" w:rsidRPr="00DD1154">
              <w:rPr>
                <w:rFonts w:ascii="Times New Roman" w:hAnsi="Times New Roman" w:cs="Times New Roman"/>
                <w:noProof/>
                <w:webHidden/>
              </w:rPr>
              <w:fldChar w:fldCharType="end"/>
            </w:r>
          </w:hyperlink>
        </w:p>
        <w:p w14:paraId="4D88CFCB" w14:textId="1370809E" w:rsidR="00E413FF" w:rsidRPr="00DD1154" w:rsidRDefault="00606B19">
          <w:pPr>
            <w:pStyle w:val="TOC2"/>
            <w:tabs>
              <w:tab w:val="left" w:pos="880"/>
              <w:tab w:val="right" w:leader="dot" w:pos="9062"/>
            </w:tabs>
            <w:rPr>
              <w:rFonts w:ascii="Times New Roman" w:hAnsi="Times New Roman" w:cs="Times New Roman"/>
              <w:noProof/>
            </w:rPr>
          </w:pPr>
          <w:hyperlink w:anchor="_Toc89261075" w:history="1">
            <w:r w:rsidR="00E413FF" w:rsidRPr="00DD1154">
              <w:rPr>
                <w:rStyle w:val="Hyperlink"/>
                <w:rFonts w:ascii="Times New Roman" w:hAnsi="Times New Roman" w:cs="Times New Roman"/>
                <w:noProof/>
              </w:rPr>
              <w:t>2.7.</w:t>
            </w:r>
            <w:r w:rsidR="00E413FF" w:rsidRPr="00DD1154">
              <w:rPr>
                <w:rFonts w:ascii="Times New Roman" w:hAnsi="Times New Roman" w:cs="Times New Roman"/>
                <w:noProof/>
              </w:rPr>
              <w:tab/>
            </w:r>
            <w:r w:rsidR="00E413FF" w:rsidRPr="00DD1154">
              <w:rPr>
                <w:rStyle w:val="Hyperlink"/>
                <w:rFonts w:ascii="Times New Roman" w:hAnsi="Times New Roman" w:cs="Times New Roman"/>
                <w:noProof/>
              </w:rPr>
              <w:t>Istraživanje i razvoj te stručna podrška (IR)</w:t>
            </w:r>
            <w:r w:rsidR="00E413FF" w:rsidRPr="00DD1154">
              <w:rPr>
                <w:rFonts w:ascii="Times New Roman" w:hAnsi="Times New Roman" w:cs="Times New Roman"/>
                <w:noProof/>
                <w:webHidden/>
              </w:rPr>
              <w:tab/>
            </w:r>
            <w:r w:rsidR="00E413FF" w:rsidRPr="00DD1154">
              <w:rPr>
                <w:rFonts w:ascii="Times New Roman" w:hAnsi="Times New Roman" w:cs="Times New Roman"/>
                <w:noProof/>
                <w:webHidden/>
              </w:rPr>
              <w:fldChar w:fldCharType="begin"/>
            </w:r>
            <w:r w:rsidR="00E413FF" w:rsidRPr="00DD1154">
              <w:rPr>
                <w:rFonts w:ascii="Times New Roman" w:hAnsi="Times New Roman" w:cs="Times New Roman"/>
                <w:noProof/>
                <w:webHidden/>
              </w:rPr>
              <w:instrText xml:space="preserve"> PAGEREF _Toc89261075 \h </w:instrText>
            </w:r>
            <w:r w:rsidR="00E413FF" w:rsidRPr="00DD1154">
              <w:rPr>
                <w:rFonts w:ascii="Times New Roman" w:hAnsi="Times New Roman" w:cs="Times New Roman"/>
                <w:noProof/>
                <w:webHidden/>
              </w:rPr>
            </w:r>
            <w:r w:rsidR="00E413FF" w:rsidRPr="00DD1154">
              <w:rPr>
                <w:rFonts w:ascii="Times New Roman" w:hAnsi="Times New Roman" w:cs="Times New Roman"/>
                <w:noProof/>
                <w:webHidden/>
              </w:rPr>
              <w:fldChar w:fldCharType="separate"/>
            </w:r>
            <w:r w:rsidR="000532CC">
              <w:rPr>
                <w:rFonts w:ascii="Times New Roman" w:hAnsi="Times New Roman" w:cs="Times New Roman"/>
                <w:noProof/>
                <w:webHidden/>
              </w:rPr>
              <w:t>21</w:t>
            </w:r>
            <w:r w:rsidR="00E413FF" w:rsidRPr="00DD1154">
              <w:rPr>
                <w:rFonts w:ascii="Times New Roman" w:hAnsi="Times New Roman" w:cs="Times New Roman"/>
                <w:noProof/>
                <w:webHidden/>
              </w:rPr>
              <w:fldChar w:fldCharType="end"/>
            </w:r>
          </w:hyperlink>
        </w:p>
        <w:p w14:paraId="14987B23" w14:textId="30A4B599" w:rsidR="00E413FF" w:rsidRPr="00DD1154" w:rsidRDefault="00606B19">
          <w:pPr>
            <w:pStyle w:val="TOC2"/>
            <w:tabs>
              <w:tab w:val="left" w:pos="880"/>
              <w:tab w:val="right" w:leader="dot" w:pos="9062"/>
            </w:tabs>
            <w:rPr>
              <w:rFonts w:ascii="Times New Roman" w:hAnsi="Times New Roman" w:cs="Times New Roman"/>
              <w:noProof/>
            </w:rPr>
          </w:pPr>
          <w:hyperlink w:anchor="_Toc89261076" w:history="1">
            <w:r w:rsidR="00E413FF" w:rsidRPr="00DD1154">
              <w:rPr>
                <w:rStyle w:val="Hyperlink"/>
                <w:rFonts w:ascii="Times New Roman" w:hAnsi="Times New Roman" w:cs="Times New Roman"/>
                <w:noProof/>
              </w:rPr>
              <w:t>2.8.</w:t>
            </w:r>
            <w:r w:rsidR="00E413FF" w:rsidRPr="00DD1154">
              <w:rPr>
                <w:rFonts w:ascii="Times New Roman" w:hAnsi="Times New Roman" w:cs="Times New Roman"/>
                <w:noProof/>
              </w:rPr>
              <w:tab/>
            </w:r>
            <w:r w:rsidR="00E413FF" w:rsidRPr="00DD1154">
              <w:rPr>
                <w:rStyle w:val="Hyperlink"/>
                <w:rFonts w:ascii="Times New Roman" w:hAnsi="Times New Roman" w:cs="Times New Roman"/>
                <w:noProof/>
              </w:rPr>
              <w:t>Centri za gospodarenje otpadom (CGO)</w:t>
            </w:r>
            <w:r w:rsidR="00E413FF" w:rsidRPr="00DD1154">
              <w:rPr>
                <w:rFonts w:ascii="Times New Roman" w:hAnsi="Times New Roman" w:cs="Times New Roman"/>
                <w:noProof/>
                <w:webHidden/>
              </w:rPr>
              <w:tab/>
            </w:r>
            <w:r w:rsidR="00E413FF" w:rsidRPr="00DD1154">
              <w:rPr>
                <w:rFonts w:ascii="Times New Roman" w:hAnsi="Times New Roman" w:cs="Times New Roman"/>
                <w:noProof/>
                <w:webHidden/>
              </w:rPr>
              <w:fldChar w:fldCharType="begin"/>
            </w:r>
            <w:r w:rsidR="00E413FF" w:rsidRPr="00DD1154">
              <w:rPr>
                <w:rFonts w:ascii="Times New Roman" w:hAnsi="Times New Roman" w:cs="Times New Roman"/>
                <w:noProof/>
                <w:webHidden/>
              </w:rPr>
              <w:instrText xml:space="preserve"> PAGEREF _Toc89261076 \h </w:instrText>
            </w:r>
            <w:r w:rsidR="00E413FF" w:rsidRPr="00DD1154">
              <w:rPr>
                <w:rFonts w:ascii="Times New Roman" w:hAnsi="Times New Roman" w:cs="Times New Roman"/>
                <w:noProof/>
                <w:webHidden/>
              </w:rPr>
            </w:r>
            <w:r w:rsidR="00E413FF" w:rsidRPr="00DD1154">
              <w:rPr>
                <w:rFonts w:ascii="Times New Roman" w:hAnsi="Times New Roman" w:cs="Times New Roman"/>
                <w:noProof/>
                <w:webHidden/>
              </w:rPr>
              <w:fldChar w:fldCharType="separate"/>
            </w:r>
            <w:r w:rsidR="000532CC">
              <w:rPr>
                <w:rFonts w:ascii="Times New Roman" w:hAnsi="Times New Roman" w:cs="Times New Roman"/>
                <w:noProof/>
                <w:webHidden/>
              </w:rPr>
              <w:t>22</w:t>
            </w:r>
            <w:r w:rsidR="00E413FF" w:rsidRPr="00DD1154">
              <w:rPr>
                <w:rFonts w:ascii="Times New Roman" w:hAnsi="Times New Roman" w:cs="Times New Roman"/>
                <w:noProof/>
                <w:webHidden/>
              </w:rPr>
              <w:fldChar w:fldCharType="end"/>
            </w:r>
          </w:hyperlink>
        </w:p>
        <w:p w14:paraId="4E9CAB17" w14:textId="7E8FDA59" w:rsidR="00E413FF" w:rsidRPr="00DD1154" w:rsidRDefault="00E413FF">
          <w:r w:rsidRPr="00DD1154">
            <w:rPr>
              <w:b/>
              <w:bCs/>
            </w:rPr>
            <w:fldChar w:fldCharType="end"/>
          </w:r>
        </w:p>
      </w:sdtContent>
    </w:sdt>
    <w:p w14:paraId="22BC8716" w14:textId="622232F6" w:rsidR="00E413FF" w:rsidRPr="00DD1154" w:rsidRDefault="00E413FF" w:rsidP="00E413FF">
      <w:pPr>
        <w:jc w:val="center"/>
        <w:rPr>
          <w:b/>
        </w:rPr>
      </w:pPr>
    </w:p>
    <w:p w14:paraId="5509F73C" w14:textId="77777777" w:rsidR="00E413FF" w:rsidRPr="00DD1154" w:rsidRDefault="00E413FF">
      <w:pPr>
        <w:jc w:val="left"/>
        <w:rPr>
          <w:b/>
        </w:rPr>
      </w:pPr>
      <w:r w:rsidRPr="00DD1154">
        <w:rPr>
          <w:b/>
        </w:rPr>
        <w:br w:type="page"/>
      </w:r>
    </w:p>
    <w:p w14:paraId="31A355E0" w14:textId="77777777" w:rsidR="0055154B" w:rsidRPr="00DD1154" w:rsidRDefault="0055154B" w:rsidP="00E413FF">
      <w:pPr>
        <w:jc w:val="center"/>
        <w:rPr>
          <w:b/>
        </w:rPr>
        <w:sectPr w:rsidR="0055154B" w:rsidRPr="00DD1154" w:rsidSect="003E2D40">
          <w:headerReference w:type="default" r:id="rId13"/>
          <w:footerReference w:type="default" r:id="rId14"/>
          <w:pgSz w:w="11906" w:h="16838"/>
          <w:pgMar w:top="1417" w:right="1417" w:bottom="1417" w:left="1417" w:header="708" w:footer="708" w:gutter="0"/>
          <w:cols w:space="708"/>
          <w:titlePg/>
          <w:docGrid w:linePitch="360"/>
        </w:sectPr>
      </w:pPr>
    </w:p>
    <w:p w14:paraId="2F821351" w14:textId="5DDD27D4" w:rsidR="00B15106" w:rsidRPr="00DD1154" w:rsidRDefault="001A1C9D" w:rsidP="00C30297">
      <w:pPr>
        <w:pStyle w:val="Heading1"/>
        <w:rPr>
          <w:sz w:val="24"/>
          <w:szCs w:val="24"/>
        </w:rPr>
      </w:pPr>
      <w:bookmarkStart w:id="1" w:name="_Toc481668210"/>
      <w:bookmarkStart w:id="2" w:name="_Toc89261067"/>
      <w:r w:rsidRPr="00DD1154">
        <w:rPr>
          <w:sz w:val="24"/>
          <w:szCs w:val="24"/>
        </w:rPr>
        <w:lastRenderedPageBreak/>
        <w:t>U</w:t>
      </w:r>
      <w:bookmarkEnd w:id="1"/>
      <w:r w:rsidR="00B211BF" w:rsidRPr="00DD1154">
        <w:rPr>
          <w:sz w:val="24"/>
          <w:szCs w:val="24"/>
        </w:rPr>
        <w:t>VOD</w:t>
      </w:r>
      <w:bookmarkEnd w:id="2"/>
    </w:p>
    <w:p w14:paraId="2A1985B8" w14:textId="394A2D32" w:rsidR="00097DA3" w:rsidRPr="00DD1154" w:rsidRDefault="00657BFF" w:rsidP="001522B0">
      <w:pPr>
        <w:spacing w:before="120" w:after="60"/>
      </w:pPr>
      <w:r w:rsidRPr="00DD1154">
        <w:rPr>
          <w:bCs/>
        </w:rPr>
        <w:t xml:space="preserve">Zakonska osnova za izradu </w:t>
      </w:r>
      <w:r w:rsidRPr="00DD1154">
        <w:rPr>
          <w:bCs/>
          <w:i/>
          <w:iCs/>
        </w:rPr>
        <w:t>Izvješća</w:t>
      </w:r>
      <w:r w:rsidRPr="00DD1154">
        <w:rPr>
          <w:i/>
          <w:iCs/>
        </w:rPr>
        <w:t xml:space="preserve"> o korištenju financijskih sredstava dobivenih od prodaje emisijskih jedinica stakleničkih plinova putem dr</w:t>
      </w:r>
      <w:r w:rsidR="005A4F7F" w:rsidRPr="00DD1154">
        <w:rPr>
          <w:i/>
          <w:iCs/>
        </w:rPr>
        <w:t xml:space="preserve">ažbi u Republici Hrvatskoj u </w:t>
      </w:r>
      <w:r w:rsidR="006D5802" w:rsidRPr="00DD1154">
        <w:rPr>
          <w:i/>
          <w:iCs/>
        </w:rPr>
        <w:t xml:space="preserve">2019. i </w:t>
      </w:r>
      <w:r w:rsidR="005A4F7F" w:rsidRPr="00DD1154">
        <w:rPr>
          <w:i/>
          <w:iCs/>
        </w:rPr>
        <w:t>2020</w:t>
      </w:r>
      <w:r w:rsidRPr="00DD1154">
        <w:rPr>
          <w:i/>
          <w:iCs/>
        </w:rPr>
        <w:t>. godini</w:t>
      </w:r>
      <w:r w:rsidR="000A43B0" w:rsidRPr="00DD1154">
        <w:t xml:space="preserve"> </w:t>
      </w:r>
      <w:r w:rsidR="000742CE" w:rsidRPr="00DD1154">
        <w:t xml:space="preserve">(razdoblje od dvije godine) koje se podnosi Vladi Republike Hrvatske </w:t>
      </w:r>
      <w:r w:rsidR="00CA2638" w:rsidRPr="00DD1154">
        <w:t>je članak 10</w:t>
      </w:r>
      <w:r w:rsidR="00AF06F0" w:rsidRPr="00DD1154">
        <w:t>0</w:t>
      </w:r>
      <w:r w:rsidRPr="00DD1154">
        <w:t>.</w:t>
      </w:r>
      <w:r w:rsidR="000742CE" w:rsidRPr="00DD1154">
        <w:t xml:space="preserve"> stavak </w:t>
      </w:r>
      <w:r w:rsidR="00BF026B" w:rsidRPr="00DD1154">
        <w:t>9.</w:t>
      </w:r>
      <w:r w:rsidR="000742CE" w:rsidRPr="00DD1154">
        <w:t xml:space="preserve"> Zakona o klimatskim promjenama i zaštiti ozonskog sloja (</w:t>
      </w:r>
      <w:r w:rsidR="00893963" w:rsidRPr="00DD1154">
        <w:t>„</w:t>
      </w:r>
      <w:r w:rsidR="000742CE" w:rsidRPr="00DD1154">
        <w:t>Narodne novine</w:t>
      </w:r>
      <w:r w:rsidR="00893963" w:rsidRPr="00DD1154">
        <w:t>“</w:t>
      </w:r>
      <w:r w:rsidR="000742CE" w:rsidRPr="00DD1154">
        <w:t>, broj 127/19, u daljnjem tekstu: Zakon). Zakon se primjenjuje od 1. siječnja 2020. godine, a do tada važeći Zakon o zaštiti zraka se stavlja van snage.</w:t>
      </w:r>
    </w:p>
    <w:p w14:paraId="5A0C360B" w14:textId="0A1C79AF" w:rsidR="00657BFF" w:rsidRPr="00DD1154" w:rsidRDefault="00657BFF" w:rsidP="001522B0">
      <w:pPr>
        <w:spacing w:before="60" w:after="60"/>
        <w:rPr>
          <w:bCs/>
        </w:rPr>
      </w:pPr>
      <w:r w:rsidRPr="00DD1154">
        <w:rPr>
          <w:bCs/>
        </w:rPr>
        <w:t xml:space="preserve">Republika Hrvatska je danom pristupanja Europskoj uniji (u daljnjem tekstu: EU) stekla pravo uključivanja u centralnu dražbovnu platformu radi prodaje emisijskih jedinica stakleničkih plinova putem dražbi u okviru sustava trgovanja emisijskim jedinicama stakleničkih plinova EU. Temeljem članka 99. stavka 4. </w:t>
      </w:r>
      <w:r w:rsidR="000F746A" w:rsidRPr="00DD1154">
        <w:rPr>
          <w:bCs/>
        </w:rPr>
        <w:t xml:space="preserve">tadašnjeg </w:t>
      </w:r>
      <w:r w:rsidRPr="00DD1154">
        <w:rPr>
          <w:bCs/>
        </w:rPr>
        <w:t xml:space="preserve">Zakona </w:t>
      </w:r>
      <w:r w:rsidR="000F746A" w:rsidRPr="00DD1154">
        <w:rPr>
          <w:bCs/>
        </w:rPr>
        <w:t xml:space="preserve">o zaštiti zraka </w:t>
      </w:r>
      <w:r w:rsidRPr="00DD1154">
        <w:rPr>
          <w:bCs/>
        </w:rPr>
        <w:t>Vlada Republike Hrvatske donijela je Odluku o dražbovatelju za obavljanje poslova dražbe emisijskih jedinica i izboru dražbenog sustava (</w:t>
      </w:r>
      <w:r w:rsidR="00893963" w:rsidRPr="00DD1154">
        <w:rPr>
          <w:bCs/>
        </w:rPr>
        <w:t>„</w:t>
      </w:r>
      <w:r w:rsidRPr="00DD1154">
        <w:rPr>
          <w:bCs/>
        </w:rPr>
        <w:t>Narodne novine</w:t>
      </w:r>
      <w:r w:rsidR="00893963" w:rsidRPr="00DD1154">
        <w:rPr>
          <w:bCs/>
        </w:rPr>
        <w:t>“</w:t>
      </w:r>
      <w:r w:rsidRPr="00DD1154">
        <w:rPr>
          <w:bCs/>
        </w:rPr>
        <w:t>, broj 84/14). Odlukom je utvrđeno da se Republika Hrvatska od 1. s</w:t>
      </w:r>
      <w:r w:rsidR="00222A5F" w:rsidRPr="00DD1154">
        <w:rPr>
          <w:bCs/>
        </w:rPr>
        <w:t>iječnja 2013. godine priključi</w:t>
      </w:r>
      <w:r w:rsidRPr="00DD1154">
        <w:rPr>
          <w:bCs/>
        </w:rPr>
        <w:t xml:space="preserve"> na europski sustav trgovanja emisijskim jedinicama stakleničkih plinova te da se kao dražbeni sustav za provođenje dražbe koristi zajednička dražbena platforma EU. Odluko</w:t>
      </w:r>
      <w:r w:rsidR="0021613F" w:rsidRPr="00DD1154">
        <w:rPr>
          <w:bCs/>
        </w:rPr>
        <w:t>m se također imenuje Fond</w:t>
      </w:r>
      <w:r w:rsidRPr="00DD1154">
        <w:rPr>
          <w:bCs/>
        </w:rPr>
        <w:t xml:space="preserve"> </w:t>
      </w:r>
      <w:r w:rsidR="004B20E1" w:rsidRPr="00DD1154">
        <w:rPr>
          <w:bCs/>
        </w:rPr>
        <w:t xml:space="preserve">za zaštitu okoliša i energetsku učinkovitost (u daljnjem tekstu: Fond) </w:t>
      </w:r>
      <w:r w:rsidRPr="00DD1154">
        <w:rPr>
          <w:bCs/>
        </w:rPr>
        <w:t>za dražbovatelja koji u ime Republike Hrvatske obavlja poslove dražbe emisijskih jedinica stakleničkih plinova. Sukladno Odluci, M</w:t>
      </w:r>
      <w:r w:rsidR="004B20E1" w:rsidRPr="00DD1154">
        <w:rPr>
          <w:bCs/>
        </w:rPr>
        <w:t>INGOR</w:t>
      </w:r>
      <w:r w:rsidRPr="00DD1154">
        <w:rPr>
          <w:bCs/>
        </w:rPr>
        <w:t xml:space="preserve"> (tadašnje Ministarstvo zaštite okoliša i prirode) i Fond sklopili su Ugovor kojim pobliže uređuju međusobna prava i obveze u vezi provođenja dražbe emisijskih jedinica (</w:t>
      </w:r>
      <w:r w:rsidR="00823867" w:rsidRPr="00DD1154">
        <w:rPr>
          <w:bCs/>
        </w:rPr>
        <w:t>KLASA</w:t>
      </w:r>
      <w:r w:rsidRPr="00DD1154">
        <w:rPr>
          <w:bCs/>
        </w:rPr>
        <w:t>: 351-01/15-01/1005, U</w:t>
      </w:r>
      <w:r w:rsidR="00DA677C" w:rsidRPr="00DD1154">
        <w:rPr>
          <w:bCs/>
        </w:rPr>
        <w:t>rbroj</w:t>
      </w:r>
      <w:r w:rsidRPr="00DD1154">
        <w:rPr>
          <w:bCs/>
        </w:rPr>
        <w:t>: 517-06-1-2-16-11 od 3. veljače 2016. godine).</w:t>
      </w:r>
    </w:p>
    <w:p w14:paraId="170494D3" w14:textId="77777777" w:rsidR="00E62D8F" w:rsidRPr="00DD1154" w:rsidRDefault="00657BFF" w:rsidP="001522B0">
      <w:pPr>
        <w:spacing w:before="60" w:after="60"/>
      </w:pPr>
      <w:r w:rsidRPr="00DD1154">
        <w:t>Republika Hrvatska je, nakon prihvaćanja dražbovatelja od strane Europske energetske burze (EEX - European Energy Exchange) te odobravanja sudjelovanja u svojstvu dražbovatelja u primarnim dražbama emisijskih jedinica stakleničkih plinova od strane Europske klirinške kuće za trgovinu robom (ECC - European Commodity Clearing AG)</w:t>
      </w:r>
      <w:r w:rsidR="00EE0B64" w:rsidRPr="00DD1154">
        <w:t>, dobila pravo uvrštenja u godišnji kalendar dražbi.</w:t>
      </w:r>
    </w:p>
    <w:p w14:paraId="6E08A399" w14:textId="57A1DAF9" w:rsidR="00657BFF" w:rsidRPr="00DD1154" w:rsidRDefault="00657BFF" w:rsidP="001522B0">
      <w:pPr>
        <w:spacing w:before="60" w:after="60"/>
        <w:rPr>
          <w:bCs/>
        </w:rPr>
      </w:pPr>
      <w:r w:rsidRPr="00DD1154">
        <w:rPr>
          <w:bCs/>
        </w:rPr>
        <w:t xml:space="preserve">Odredbama Zakona propisano je da se financijska sredstva ostvarena prodajom emisijskih jedinica na dražbi koriste strogo namjenski u skladu s </w:t>
      </w:r>
      <w:r w:rsidR="00264D64" w:rsidRPr="00DD1154">
        <w:rPr>
          <w:bCs/>
          <w:i/>
          <w:iCs/>
        </w:rPr>
        <w:t>P</w:t>
      </w:r>
      <w:r w:rsidRPr="00DD1154">
        <w:rPr>
          <w:bCs/>
          <w:i/>
          <w:iCs/>
        </w:rPr>
        <w:t xml:space="preserve">lanom korištenja financijskih sredstava dobivenih od prodaje emisijskih jedinica putem dražbi </w:t>
      </w:r>
      <w:r w:rsidRPr="00DD1154">
        <w:rPr>
          <w:bCs/>
        </w:rPr>
        <w:t>kojeg donosi Vlada Republike Hrvatske na prijed</w:t>
      </w:r>
      <w:r w:rsidR="00E651BD" w:rsidRPr="00DD1154">
        <w:rPr>
          <w:bCs/>
        </w:rPr>
        <w:t>log MINGOR-a</w:t>
      </w:r>
      <w:r w:rsidRPr="00DD1154">
        <w:rPr>
          <w:bCs/>
        </w:rPr>
        <w:t xml:space="preserve">. Također je propisano da se dio sredstava prikupljenih na </w:t>
      </w:r>
      <w:r w:rsidR="00264D64" w:rsidRPr="00DD1154">
        <w:rPr>
          <w:bCs/>
        </w:rPr>
        <w:t xml:space="preserve">primarnim </w:t>
      </w:r>
      <w:r w:rsidRPr="00DD1154">
        <w:rPr>
          <w:bCs/>
        </w:rPr>
        <w:t>dražbama uplaćuje u državni proračun Republike Hrvatske za pokrivanje troškova administriranja sustava trgovanja emisijskim jedinicama, za upravne poslove, poslove funkci</w:t>
      </w:r>
      <w:r w:rsidR="0077144A" w:rsidRPr="00DD1154">
        <w:rPr>
          <w:bCs/>
        </w:rPr>
        <w:t>oniranja Registra Unije, poslove</w:t>
      </w:r>
      <w:r w:rsidRPr="00DD1154">
        <w:rPr>
          <w:bCs/>
        </w:rPr>
        <w:t xml:space="preserve"> dražbovatelja, Nacionalnog sustava za praćenje emisija stakleničkih plinova i drugih poslova vezanih za klimatske promjene i to u visini 5% prikupljenih sredstava</w:t>
      </w:r>
      <w:r w:rsidR="00483798" w:rsidRPr="00DD1154">
        <w:rPr>
          <w:bCs/>
        </w:rPr>
        <w:t>.</w:t>
      </w:r>
    </w:p>
    <w:p w14:paraId="2C37BF5B" w14:textId="32807AE3" w:rsidR="00483798" w:rsidRPr="00DD1154" w:rsidRDefault="00483798" w:rsidP="001522B0">
      <w:pPr>
        <w:spacing w:before="60" w:after="60"/>
      </w:pPr>
      <w:r w:rsidRPr="00DD1154">
        <w:t>Imajući u vidu pravilnu i učinkovitu upotrebu financijskih sredstava s ciljem ublažavanja posljedica klimatskih promjena i smanjenja emisija stakleničkih plinova kroz mjere ublažavanja i prilagodbe, Vlada Republike Hrvatske donijela je 2</w:t>
      </w:r>
      <w:r w:rsidR="00C744B0" w:rsidRPr="00DD1154">
        <w:t>2</w:t>
      </w:r>
      <w:r w:rsidRPr="00DD1154">
        <w:t xml:space="preserve">. </w:t>
      </w:r>
      <w:r w:rsidR="00C744B0" w:rsidRPr="00DD1154">
        <w:t>veljače</w:t>
      </w:r>
      <w:r w:rsidRPr="00DD1154">
        <w:t xml:space="preserve"> 201</w:t>
      </w:r>
      <w:r w:rsidR="00C744B0" w:rsidRPr="00DD1154">
        <w:t>8</w:t>
      </w:r>
      <w:r w:rsidRPr="00DD1154">
        <w:t>. godine Odluku o donošenju Plana korištenja financijskih sredstava dobivenih od prodaje emisijskih jedinica putem dražbi u Republici Hrvatskoj do 20</w:t>
      </w:r>
      <w:r w:rsidR="00C744B0" w:rsidRPr="00DD1154">
        <w:t>20</w:t>
      </w:r>
      <w:r w:rsidRPr="00DD1154">
        <w:t>. godine (</w:t>
      </w:r>
      <w:r w:rsidR="00893963" w:rsidRPr="00DD1154">
        <w:t>„</w:t>
      </w:r>
      <w:r w:rsidRPr="00DD1154">
        <w:t>Narodne novine</w:t>
      </w:r>
      <w:r w:rsidR="00893963" w:rsidRPr="00DD1154">
        <w:t>“</w:t>
      </w:r>
      <w:r w:rsidRPr="00DD1154">
        <w:t xml:space="preserve">, broj </w:t>
      </w:r>
      <w:r w:rsidR="00C744B0" w:rsidRPr="00DD1154">
        <w:t>19</w:t>
      </w:r>
      <w:r w:rsidRPr="00DD1154">
        <w:t>/1</w:t>
      </w:r>
      <w:r w:rsidR="00C744B0" w:rsidRPr="00DD1154">
        <w:t>8</w:t>
      </w:r>
      <w:r w:rsidR="00EC7638" w:rsidRPr="00DD1154">
        <w:t xml:space="preserve">). </w:t>
      </w:r>
      <w:r w:rsidRPr="00DD1154">
        <w:t xml:space="preserve">Odlukom je Vlada </w:t>
      </w:r>
      <w:r w:rsidR="004402B9" w:rsidRPr="00DD1154">
        <w:t>Republike Hrvatske zadužila MINGOR</w:t>
      </w:r>
      <w:r w:rsidRPr="00DD1154">
        <w:t xml:space="preserve"> i Fond za provedbu Plana.</w:t>
      </w:r>
    </w:p>
    <w:p w14:paraId="3F6395BE" w14:textId="5BB457C3" w:rsidR="00726B83" w:rsidRPr="00DD1154" w:rsidRDefault="00726B83" w:rsidP="001522B0">
      <w:pPr>
        <w:spacing w:before="60" w:after="60"/>
      </w:pPr>
      <w:r w:rsidRPr="00DD1154">
        <w:t xml:space="preserve">Na temelju proračuna količina emisijskih jedinica za Republiku Hrvatsku, pretpostavke o kretanju cijene, te zakonskim odredbama o raspodjeli sredstava, Planom se procijenio očekivani prihod od prodaje emisijskih jedinica u Republici Hrvatskoj u iznosu od okvirno </w:t>
      </w:r>
      <w:r w:rsidR="00C744B0" w:rsidRPr="00DD1154">
        <w:t>825</w:t>
      </w:r>
      <w:r w:rsidRPr="00DD1154">
        <w:t xml:space="preserve">.000.000 </w:t>
      </w:r>
      <w:r w:rsidR="006C04A7" w:rsidRPr="00DD1154">
        <w:t>kn</w:t>
      </w:r>
      <w:r w:rsidRPr="00DD1154">
        <w:t>.</w:t>
      </w:r>
    </w:p>
    <w:p w14:paraId="0D8599E1" w14:textId="46F4521D" w:rsidR="00075610" w:rsidRPr="00DD1154" w:rsidRDefault="00D809D5" w:rsidP="001522B0">
      <w:pPr>
        <w:spacing w:before="60" w:after="60"/>
      </w:pPr>
      <w:r w:rsidRPr="00DD1154">
        <w:rPr>
          <w:bCs/>
        </w:rPr>
        <w:lastRenderedPageBreak/>
        <w:t xml:space="preserve">Dana 05. rujna 2019. godine Vlada Republike Hrvatske donijela je Izmjene i dopune </w:t>
      </w:r>
      <w:r w:rsidRPr="00DD1154">
        <w:t>Plana korištenja financijskih sredstava dobivenih od prodaje emisijskih jedinica putem dražbi u Republici Hrvatskoj do 2020. godine (</w:t>
      </w:r>
      <w:r w:rsidR="00893963" w:rsidRPr="00DD1154">
        <w:t>„</w:t>
      </w:r>
      <w:r w:rsidRPr="00DD1154">
        <w:t>Narodne novine</w:t>
      </w:r>
      <w:r w:rsidR="00893963" w:rsidRPr="00DD1154">
        <w:t>“</w:t>
      </w:r>
      <w:r w:rsidRPr="00DD1154">
        <w:t>, broj 84/19</w:t>
      </w:r>
      <w:r w:rsidR="001F6B34" w:rsidRPr="00DD1154">
        <w:t>, u daljnjem tekstu Plan</w:t>
      </w:r>
      <w:r w:rsidRPr="00DD1154">
        <w:t xml:space="preserve">) i utvrdila novu raspodjelu prihoda po prioritetnim mjerama od 1.510.000.000 </w:t>
      </w:r>
      <w:r w:rsidR="006C04A7" w:rsidRPr="00DD1154">
        <w:t>kn</w:t>
      </w:r>
      <w:r w:rsidRPr="00DD1154">
        <w:t>.</w:t>
      </w:r>
    </w:p>
    <w:p w14:paraId="49848668" w14:textId="5C2173CF" w:rsidR="0011082E" w:rsidRPr="00DD1154" w:rsidRDefault="004A0D6D" w:rsidP="001522B0">
      <w:pPr>
        <w:spacing w:before="60" w:after="60"/>
      </w:pPr>
      <w:r w:rsidRPr="00DD1154">
        <w:t>Odluka Vlade Republike H</w:t>
      </w:r>
      <w:r w:rsidR="00D97126" w:rsidRPr="00DD1154">
        <w:t>rvatske o donošenju Plana korištenja financijskih sredstava dobivenih od prodaje emisijskih jedinica putem dražbi u Republici Hrvatskoj do 2020. godine (</w:t>
      </w:r>
      <w:r w:rsidR="00893963" w:rsidRPr="00DD1154">
        <w:t>„</w:t>
      </w:r>
      <w:r w:rsidR="00D97126" w:rsidRPr="00DD1154">
        <w:t>N</w:t>
      </w:r>
      <w:r w:rsidR="00E73565" w:rsidRPr="00DD1154">
        <w:t>arodne novine</w:t>
      </w:r>
      <w:r w:rsidR="00893963" w:rsidRPr="00DD1154">
        <w:t>“</w:t>
      </w:r>
      <w:r w:rsidR="00E73565" w:rsidRPr="00DD1154">
        <w:t>, broj</w:t>
      </w:r>
      <w:r w:rsidR="00D97126" w:rsidRPr="00DD1154">
        <w:t xml:space="preserve"> 19/18) i O</w:t>
      </w:r>
      <w:r w:rsidR="0011082E" w:rsidRPr="00DD1154">
        <w:t>dluka</w:t>
      </w:r>
      <w:r w:rsidR="00D97126" w:rsidRPr="00DD1154">
        <w:t xml:space="preserve"> o donošenju </w:t>
      </w:r>
      <w:r w:rsidR="00E73565" w:rsidRPr="00DD1154">
        <w:t>I</w:t>
      </w:r>
      <w:r w:rsidR="00D97126" w:rsidRPr="00DD1154">
        <w:t>zmjena i dopuna Plana korištenja financijskih sredstava dobivenih od prodaje emisijskih jedinica putem dražbi u Republici Hrvatskoj do 2020. godine (</w:t>
      </w:r>
      <w:r w:rsidR="00893963" w:rsidRPr="00DD1154">
        <w:t>„</w:t>
      </w:r>
      <w:r w:rsidR="00D97126" w:rsidRPr="00DD1154">
        <w:t>N</w:t>
      </w:r>
      <w:r w:rsidR="00E73565" w:rsidRPr="00DD1154">
        <w:t>arodne novine</w:t>
      </w:r>
      <w:r w:rsidR="00893963" w:rsidRPr="00DD1154">
        <w:t>“</w:t>
      </w:r>
      <w:r w:rsidR="00E73565" w:rsidRPr="00DD1154">
        <w:t>, broj</w:t>
      </w:r>
      <w:r w:rsidR="00460D02" w:rsidRPr="00DD1154">
        <w:t xml:space="preserve"> </w:t>
      </w:r>
      <w:r w:rsidR="00D97126" w:rsidRPr="00DD1154">
        <w:t xml:space="preserve">84/19), </w:t>
      </w:r>
      <w:r w:rsidR="00D50EB5" w:rsidRPr="00DD1154">
        <w:t>također propisuju</w:t>
      </w:r>
      <w:r w:rsidR="0011082E" w:rsidRPr="00DD1154">
        <w:t xml:space="preserve"> da</w:t>
      </w:r>
      <w:r w:rsidR="004402B9" w:rsidRPr="00DD1154">
        <w:t xml:space="preserve"> je MINGOR ovlašten</w:t>
      </w:r>
      <w:r w:rsidR="00D97126" w:rsidRPr="00DD1154">
        <w:t xml:space="preserve"> da prema procjeni i potrebi provodi preraspodjelu prikupljenih prihoda za financir</w:t>
      </w:r>
      <w:r w:rsidR="0011082E" w:rsidRPr="00DD1154">
        <w:t>anje mjera</w:t>
      </w:r>
      <w:r w:rsidR="00D97126" w:rsidRPr="00DD1154">
        <w:t xml:space="preserve"> u iznosu do najviše 15% ukupnih financijskih sredstava</w:t>
      </w:r>
      <w:r w:rsidR="0011082E" w:rsidRPr="00DD1154">
        <w:t>.</w:t>
      </w:r>
    </w:p>
    <w:p w14:paraId="0E0A0488" w14:textId="729BEBB0" w:rsidR="00D97126" w:rsidRPr="00DD1154" w:rsidRDefault="0011082E" w:rsidP="008C3185">
      <w:pPr>
        <w:spacing w:before="60" w:after="60"/>
      </w:pPr>
      <w:r w:rsidRPr="00DD1154">
        <w:t>S tim u svezi</w:t>
      </w:r>
      <w:r w:rsidR="007021C2" w:rsidRPr="00DD1154">
        <w:t xml:space="preserve"> </w:t>
      </w:r>
      <w:r w:rsidR="00D9144C" w:rsidRPr="00DD1154">
        <w:t>Fond je početkom studenog</w:t>
      </w:r>
      <w:r w:rsidR="004402B9" w:rsidRPr="00DD1154">
        <w:t xml:space="preserve"> 2019. predložio MINGOR-u</w:t>
      </w:r>
      <w:r w:rsidRPr="00DD1154">
        <w:t xml:space="preserve"> </w:t>
      </w:r>
      <w:r w:rsidR="00D9144C" w:rsidRPr="00DD1154">
        <w:t>provedbu preraspodjele</w:t>
      </w:r>
      <w:r w:rsidR="004402B9" w:rsidRPr="00DD1154">
        <w:t xml:space="preserve"> na što je MINGOR</w:t>
      </w:r>
      <w:r w:rsidR="007021C2" w:rsidRPr="00DD1154">
        <w:t xml:space="preserve"> </w:t>
      </w:r>
      <w:r w:rsidR="00823867" w:rsidRPr="00DD1154">
        <w:t xml:space="preserve">19. studenog 2019. </w:t>
      </w:r>
      <w:r w:rsidR="007021C2" w:rsidRPr="00DD1154">
        <w:t>dao suglasnost (</w:t>
      </w:r>
      <w:r w:rsidR="00823867" w:rsidRPr="00DD1154">
        <w:t>KLASA</w:t>
      </w:r>
      <w:r w:rsidR="007021C2" w:rsidRPr="00DD1154">
        <w:t xml:space="preserve">: </w:t>
      </w:r>
      <w:r w:rsidRPr="00DD1154">
        <w:t xml:space="preserve">402-01/18-01/08, </w:t>
      </w:r>
      <w:r w:rsidR="00823867" w:rsidRPr="00DD1154">
        <w:t>URBROJ</w:t>
      </w:r>
      <w:r w:rsidRPr="00DD1154">
        <w:t>: 517-04-1-1-19-39)</w:t>
      </w:r>
      <w:r w:rsidR="00D9144C" w:rsidRPr="00DD1154">
        <w:t xml:space="preserve"> (tablični prikaz preraspodjele dat je u Prilogu 1</w:t>
      </w:r>
      <w:r w:rsidR="00C11641" w:rsidRPr="00DD1154">
        <w:t>.</w:t>
      </w:r>
      <w:r w:rsidR="00D9144C" w:rsidRPr="00DD1154">
        <w:t xml:space="preserve"> ovoga Izvješća).</w:t>
      </w:r>
    </w:p>
    <w:p w14:paraId="24A77290" w14:textId="77777777" w:rsidR="008C3185" w:rsidRPr="00DD1154" w:rsidRDefault="008C3185" w:rsidP="008C3185">
      <w:pPr>
        <w:spacing w:before="60" w:after="60"/>
      </w:pPr>
    </w:p>
    <w:p w14:paraId="119A94CB" w14:textId="249B72E2" w:rsidR="007270A2" w:rsidRPr="00DD1154" w:rsidRDefault="007270A2" w:rsidP="007270A2">
      <w:pPr>
        <w:pStyle w:val="ListParagraph"/>
        <w:numPr>
          <w:ilvl w:val="1"/>
          <w:numId w:val="19"/>
        </w:numPr>
        <w:spacing w:before="60" w:after="60"/>
        <w:rPr>
          <w:b/>
          <w:bCs/>
        </w:rPr>
      </w:pPr>
      <w:r w:rsidRPr="00DD1154">
        <w:rPr>
          <w:b/>
          <w:bCs/>
        </w:rPr>
        <w:t xml:space="preserve"> Prihodi i rashodi </w:t>
      </w:r>
      <w:r w:rsidR="00C21DDD" w:rsidRPr="00DD1154">
        <w:rPr>
          <w:b/>
          <w:bCs/>
        </w:rPr>
        <w:t>sredstava od dražbi</w:t>
      </w:r>
    </w:p>
    <w:p w14:paraId="6B93EA96" w14:textId="77777777" w:rsidR="00C21DDD" w:rsidRPr="00DD1154" w:rsidRDefault="00C21DDD" w:rsidP="00C21DDD">
      <w:pPr>
        <w:pStyle w:val="ListParagraph"/>
        <w:spacing w:before="60" w:after="60"/>
        <w:ind w:left="360"/>
        <w:rPr>
          <w:b/>
          <w:bCs/>
        </w:rPr>
      </w:pPr>
    </w:p>
    <w:p w14:paraId="1E1683CF" w14:textId="435E1273" w:rsidR="00D50EB5" w:rsidRPr="00DD1154" w:rsidRDefault="00D50EB5" w:rsidP="007270A2">
      <w:pPr>
        <w:spacing w:before="60" w:after="60"/>
        <w:rPr>
          <w:b/>
          <w:bCs/>
        </w:rPr>
      </w:pPr>
      <w:r w:rsidRPr="00DD1154">
        <w:rPr>
          <w:bCs/>
        </w:rPr>
        <w:t xml:space="preserve">Tijekom </w:t>
      </w:r>
      <w:r w:rsidR="00C55567" w:rsidRPr="00DD1154">
        <w:rPr>
          <w:bCs/>
        </w:rPr>
        <w:t xml:space="preserve">2019. godine održano je 146 dražbe i ponuđeno je 2.953.500 emisijskih jedinica od čije je prodaje ostvareno </w:t>
      </w:r>
      <w:r w:rsidR="00C55567" w:rsidRPr="00DD1154">
        <w:rPr>
          <w:b/>
          <w:bCs/>
        </w:rPr>
        <w:t xml:space="preserve">539.042.353,68 </w:t>
      </w:r>
      <w:r w:rsidR="006C04A7" w:rsidRPr="00DD1154">
        <w:rPr>
          <w:b/>
          <w:bCs/>
        </w:rPr>
        <w:t>kn</w:t>
      </w:r>
      <w:r w:rsidR="00C55567" w:rsidRPr="00DD1154">
        <w:rPr>
          <w:bCs/>
        </w:rPr>
        <w:t xml:space="preserve"> dok je u </w:t>
      </w:r>
      <w:r w:rsidRPr="00DD1154">
        <w:rPr>
          <w:bCs/>
        </w:rPr>
        <w:t>2020. godin</w:t>
      </w:r>
      <w:r w:rsidR="00C55567" w:rsidRPr="00DD1154">
        <w:rPr>
          <w:bCs/>
        </w:rPr>
        <w:t>i održano</w:t>
      </w:r>
      <w:r w:rsidRPr="00DD1154">
        <w:rPr>
          <w:bCs/>
        </w:rPr>
        <w:t xml:space="preserve"> 145 dražbi na kojima je ponuđeno 2.969.000 emisijskih jedinica od čije prodaje je ostvareno </w:t>
      </w:r>
      <w:r w:rsidRPr="00DD1154">
        <w:rPr>
          <w:b/>
          <w:bCs/>
        </w:rPr>
        <w:t xml:space="preserve">543.780.333,07 </w:t>
      </w:r>
      <w:r w:rsidR="00823867" w:rsidRPr="00DD1154">
        <w:rPr>
          <w:b/>
          <w:bCs/>
        </w:rPr>
        <w:t>kn</w:t>
      </w:r>
      <w:r w:rsidRPr="00DD1154">
        <w:rPr>
          <w:b/>
          <w:bCs/>
        </w:rPr>
        <w:t>.</w:t>
      </w:r>
    </w:p>
    <w:p w14:paraId="596CFFEA" w14:textId="33F14F94" w:rsidR="006B3DCC" w:rsidRPr="00DD1154" w:rsidRDefault="00C55567" w:rsidP="00D37162">
      <w:pPr>
        <w:spacing w:after="0"/>
        <w:rPr>
          <w:b/>
          <w:bCs/>
        </w:rPr>
      </w:pPr>
      <w:r w:rsidRPr="00DD1154">
        <w:rPr>
          <w:bCs/>
        </w:rPr>
        <w:t xml:space="preserve">Ukupno je u 2019. i 2020. godini ostvareno </w:t>
      </w:r>
      <w:r w:rsidRPr="00DD1154">
        <w:rPr>
          <w:b/>
          <w:bCs/>
        </w:rPr>
        <w:t>1.082.822.686,75</w:t>
      </w:r>
      <w:r w:rsidR="00F46123" w:rsidRPr="00DD1154">
        <w:rPr>
          <w:bCs/>
        </w:rPr>
        <w:t xml:space="preserve"> </w:t>
      </w:r>
      <w:r w:rsidR="00823867" w:rsidRPr="00DD1154">
        <w:rPr>
          <w:b/>
          <w:bCs/>
        </w:rPr>
        <w:t>kn</w:t>
      </w:r>
      <w:r w:rsidRPr="00DD1154">
        <w:rPr>
          <w:bCs/>
        </w:rPr>
        <w:t xml:space="preserve"> prihoda, od čega je</w:t>
      </w:r>
      <w:r w:rsidR="006B3DCC" w:rsidRPr="00DD1154">
        <w:rPr>
          <w:b/>
          <w:bCs/>
        </w:rPr>
        <w:t xml:space="preserve"> </w:t>
      </w:r>
      <w:r w:rsidRPr="00DD1154">
        <w:rPr>
          <w:b/>
          <w:bCs/>
        </w:rPr>
        <w:t>54.141.134,3</w:t>
      </w:r>
      <w:r w:rsidR="004E4C05" w:rsidRPr="00DD1154">
        <w:rPr>
          <w:b/>
          <w:bCs/>
        </w:rPr>
        <w:t>8</w:t>
      </w:r>
      <w:r w:rsidR="00F46123" w:rsidRPr="00DD1154">
        <w:rPr>
          <w:b/>
          <w:bCs/>
        </w:rPr>
        <w:t xml:space="preserve"> </w:t>
      </w:r>
      <w:r w:rsidR="006C04A7" w:rsidRPr="00DD1154">
        <w:rPr>
          <w:b/>
          <w:bCs/>
        </w:rPr>
        <w:t>kn</w:t>
      </w:r>
      <w:r w:rsidR="006B3DCC" w:rsidRPr="00DD1154">
        <w:rPr>
          <w:b/>
          <w:bCs/>
        </w:rPr>
        <w:t xml:space="preserve"> (5%) financijskih sredstava uplaćeno na ime troškova administriranja sustava </w:t>
      </w:r>
      <w:r w:rsidRPr="00DD1154">
        <w:rPr>
          <w:b/>
          <w:bCs/>
        </w:rPr>
        <w:t xml:space="preserve">u državni proračun </w:t>
      </w:r>
      <w:r w:rsidR="006B3DCC" w:rsidRPr="00DD1154">
        <w:rPr>
          <w:b/>
          <w:bCs/>
        </w:rPr>
        <w:t>i to:</w:t>
      </w:r>
    </w:p>
    <w:p w14:paraId="0881AB80" w14:textId="45FC0C7D" w:rsidR="006B3DCC" w:rsidRPr="00DD1154" w:rsidRDefault="007036D8" w:rsidP="008D4D94">
      <w:pPr>
        <w:pStyle w:val="ListParagraph"/>
        <w:numPr>
          <w:ilvl w:val="0"/>
          <w:numId w:val="3"/>
        </w:numPr>
        <w:spacing w:after="0"/>
        <w:rPr>
          <w:b/>
        </w:rPr>
      </w:pPr>
      <w:r w:rsidRPr="00DD1154">
        <w:rPr>
          <w:b/>
        </w:rPr>
        <w:t>Ministarstvu gospodarstva i održivog razvoja</w:t>
      </w:r>
      <w:r w:rsidR="00E127EA" w:rsidRPr="00DD1154">
        <w:rPr>
          <w:b/>
        </w:rPr>
        <w:t xml:space="preserve"> </w:t>
      </w:r>
      <w:r w:rsidR="004E4C05" w:rsidRPr="00DD1154">
        <w:rPr>
          <w:b/>
        </w:rPr>
        <w:t xml:space="preserve">48.727.020,75 </w:t>
      </w:r>
      <w:r w:rsidR="00823867" w:rsidRPr="00DD1154">
        <w:rPr>
          <w:b/>
        </w:rPr>
        <w:t>kn</w:t>
      </w:r>
      <w:r w:rsidR="00AE00A8" w:rsidRPr="00DD1154">
        <w:rPr>
          <w:b/>
        </w:rPr>
        <w:t xml:space="preserve"> (90%)</w:t>
      </w:r>
      <w:r w:rsidR="006B3DCC" w:rsidRPr="00DD1154">
        <w:rPr>
          <w:b/>
        </w:rPr>
        <w:t xml:space="preserve"> i</w:t>
      </w:r>
    </w:p>
    <w:p w14:paraId="719CF3DC" w14:textId="6DBADF8E" w:rsidR="006B3DCC" w:rsidRPr="00DD1154" w:rsidRDefault="006B3DCC" w:rsidP="008D4D94">
      <w:pPr>
        <w:pStyle w:val="ListParagraph"/>
        <w:numPr>
          <w:ilvl w:val="0"/>
          <w:numId w:val="3"/>
        </w:numPr>
        <w:spacing w:after="0"/>
        <w:rPr>
          <w:b/>
        </w:rPr>
      </w:pPr>
      <w:r w:rsidRPr="00DD1154">
        <w:rPr>
          <w:b/>
        </w:rPr>
        <w:t>Fondu za zaštitu okoliša i energetsku uči</w:t>
      </w:r>
      <w:r w:rsidR="00A85EBB" w:rsidRPr="00DD1154">
        <w:rPr>
          <w:b/>
        </w:rPr>
        <w:t xml:space="preserve">nkovitost </w:t>
      </w:r>
      <w:r w:rsidR="004E4C05" w:rsidRPr="00DD1154">
        <w:rPr>
          <w:b/>
        </w:rPr>
        <w:t>5.414.113,63</w:t>
      </w:r>
      <w:r w:rsidR="00823867" w:rsidRPr="00DD1154">
        <w:rPr>
          <w:b/>
        </w:rPr>
        <w:t xml:space="preserve"> kn</w:t>
      </w:r>
      <w:r w:rsidRPr="00DD1154">
        <w:rPr>
          <w:b/>
        </w:rPr>
        <w:t xml:space="preserve"> (10%).</w:t>
      </w:r>
    </w:p>
    <w:p w14:paraId="2E368060" w14:textId="1D1CEE68" w:rsidR="0071696B" w:rsidRPr="00DD1154" w:rsidRDefault="0071696B" w:rsidP="008D4D94">
      <w:pPr>
        <w:spacing w:before="120" w:after="120"/>
        <w:ind w:firstLine="567"/>
        <w:rPr>
          <w:b/>
          <w:bCs/>
        </w:rPr>
      </w:pPr>
      <w:r w:rsidRPr="00DD1154">
        <w:rPr>
          <w:b/>
          <w:bCs/>
        </w:rPr>
        <w:t>Na posebnom računu Fonda evidentiran je prihod od prodaje emisijskih jedini</w:t>
      </w:r>
      <w:r w:rsidR="00E127EA" w:rsidRPr="00DD1154">
        <w:rPr>
          <w:b/>
          <w:bCs/>
        </w:rPr>
        <w:t>ca koji je ostvaren</w:t>
      </w:r>
      <w:r w:rsidR="0084410D" w:rsidRPr="00DD1154">
        <w:rPr>
          <w:b/>
          <w:bCs/>
        </w:rPr>
        <w:t xml:space="preserve"> tijekom 2019. godi</w:t>
      </w:r>
      <w:r w:rsidR="00F46123" w:rsidRPr="00DD1154">
        <w:rPr>
          <w:b/>
          <w:bCs/>
        </w:rPr>
        <w:t xml:space="preserve">ne u iznosu od 512.090.235,96 </w:t>
      </w:r>
      <w:r w:rsidR="00823867" w:rsidRPr="00DD1154">
        <w:rPr>
          <w:b/>
        </w:rPr>
        <w:t>kn</w:t>
      </w:r>
      <w:r w:rsidR="0084410D" w:rsidRPr="00DD1154">
        <w:rPr>
          <w:b/>
          <w:bCs/>
        </w:rPr>
        <w:t xml:space="preserve"> i</w:t>
      </w:r>
      <w:r w:rsidR="00E127EA" w:rsidRPr="00DD1154">
        <w:rPr>
          <w:b/>
          <w:bCs/>
        </w:rPr>
        <w:t xml:space="preserve"> tijekom 2020</w:t>
      </w:r>
      <w:r w:rsidRPr="00DD1154">
        <w:rPr>
          <w:b/>
          <w:bCs/>
        </w:rPr>
        <w:t>. g</w:t>
      </w:r>
      <w:r w:rsidR="00E127EA" w:rsidRPr="00DD1154">
        <w:rPr>
          <w:b/>
          <w:bCs/>
        </w:rPr>
        <w:t>odine u iznosu od 516.591.316,41</w:t>
      </w:r>
      <w:r w:rsidR="00B543F1" w:rsidRPr="00DD1154">
        <w:rPr>
          <w:b/>
          <w:bCs/>
        </w:rPr>
        <w:t xml:space="preserve"> </w:t>
      </w:r>
      <w:r w:rsidR="00823867" w:rsidRPr="00DD1154">
        <w:rPr>
          <w:b/>
        </w:rPr>
        <w:t>kn</w:t>
      </w:r>
      <w:r w:rsidR="00F46123" w:rsidRPr="00DD1154">
        <w:rPr>
          <w:b/>
          <w:bCs/>
        </w:rPr>
        <w:t>,</w:t>
      </w:r>
      <w:r w:rsidR="0084410D" w:rsidRPr="00DD1154">
        <w:rPr>
          <w:b/>
          <w:bCs/>
        </w:rPr>
        <w:t xml:space="preserve"> što čini ukupan iznos od 1.028.681.552,37</w:t>
      </w:r>
      <w:r w:rsidR="00F46123" w:rsidRPr="00DD1154">
        <w:rPr>
          <w:b/>
          <w:bCs/>
        </w:rPr>
        <w:t xml:space="preserve"> </w:t>
      </w:r>
      <w:r w:rsidR="00823867" w:rsidRPr="00DD1154">
        <w:rPr>
          <w:b/>
        </w:rPr>
        <w:t>kn</w:t>
      </w:r>
      <w:r w:rsidR="0084410D" w:rsidRPr="00DD1154">
        <w:rPr>
          <w:b/>
          <w:bCs/>
        </w:rPr>
        <w:t xml:space="preserve"> za razdoblje od 2019. do 2020. godine</w:t>
      </w:r>
      <w:r w:rsidRPr="00DD1154">
        <w:rPr>
          <w:b/>
          <w:bCs/>
        </w:rPr>
        <w:t>.</w:t>
      </w:r>
    </w:p>
    <w:p w14:paraId="1CD783BD" w14:textId="5D9296CD" w:rsidR="00E127EA" w:rsidRPr="00DD1154" w:rsidRDefault="00E127EA" w:rsidP="008D4D94">
      <w:pPr>
        <w:spacing w:before="60" w:after="60"/>
        <w:ind w:firstLine="567"/>
        <w:rPr>
          <w:b/>
          <w:bCs/>
        </w:rPr>
      </w:pPr>
      <w:r w:rsidRPr="00DD1154">
        <w:rPr>
          <w:b/>
          <w:bCs/>
        </w:rPr>
        <w:t xml:space="preserve">U </w:t>
      </w:r>
      <w:r w:rsidR="006A3B36" w:rsidRPr="00DD1154">
        <w:rPr>
          <w:b/>
          <w:bCs/>
        </w:rPr>
        <w:t xml:space="preserve">2019. i </w:t>
      </w:r>
      <w:r w:rsidRPr="00DD1154">
        <w:rPr>
          <w:b/>
          <w:bCs/>
        </w:rPr>
        <w:t>2020</w:t>
      </w:r>
      <w:r w:rsidR="00657BFF" w:rsidRPr="00DD1154">
        <w:rPr>
          <w:b/>
          <w:bCs/>
        </w:rPr>
        <w:t xml:space="preserve">. godini prihodi ostvareni </w:t>
      </w:r>
      <w:r w:rsidR="00C30297" w:rsidRPr="00DD1154">
        <w:rPr>
          <w:b/>
          <w:bCs/>
        </w:rPr>
        <w:t>prodajom</w:t>
      </w:r>
      <w:r w:rsidR="00657BFF" w:rsidRPr="00DD1154">
        <w:rPr>
          <w:b/>
          <w:bCs/>
        </w:rPr>
        <w:t xml:space="preserve"> emisijskih je</w:t>
      </w:r>
      <w:r w:rsidR="00AE00A8" w:rsidRPr="00DD1154">
        <w:rPr>
          <w:b/>
          <w:bCs/>
        </w:rPr>
        <w:t>dinica putem dražbi utrošeni su</w:t>
      </w:r>
      <w:r w:rsidRPr="00DD1154">
        <w:rPr>
          <w:b/>
          <w:bCs/>
        </w:rPr>
        <w:t xml:space="preserve"> u iznosu od </w:t>
      </w:r>
      <w:r w:rsidR="006A3B36" w:rsidRPr="00DD1154">
        <w:rPr>
          <w:b/>
          <w:bCs/>
        </w:rPr>
        <w:t>423.897.663,77</w:t>
      </w:r>
      <w:r w:rsidR="0028755E" w:rsidRPr="00DD1154">
        <w:rPr>
          <w:b/>
          <w:bCs/>
        </w:rPr>
        <w:t xml:space="preserve"> </w:t>
      </w:r>
      <w:r w:rsidR="00823867" w:rsidRPr="00DD1154">
        <w:rPr>
          <w:b/>
        </w:rPr>
        <w:t>kn</w:t>
      </w:r>
      <w:r w:rsidR="0028755E" w:rsidRPr="00DD1154">
        <w:rPr>
          <w:b/>
          <w:bCs/>
        </w:rPr>
        <w:t xml:space="preserve"> od čega:</w:t>
      </w:r>
    </w:p>
    <w:p w14:paraId="01BE081B" w14:textId="7BB1E750" w:rsidR="002B1CD4" w:rsidRPr="00DD1154" w:rsidRDefault="00657BFF" w:rsidP="008D4D94">
      <w:pPr>
        <w:pStyle w:val="ListParagraph"/>
        <w:numPr>
          <w:ilvl w:val="0"/>
          <w:numId w:val="3"/>
        </w:numPr>
        <w:spacing w:after="0"/>
      </w:pPr>
      <w:r w:rsidRPr="00DD1154">
        <w:t xml:space="preserve">za programe i projekte zaštite okoliša </w:t>
      </w:r>
      <w:r w:rsidR="006A3B36" w:rsidRPr="00DD1154">
        <w:t>88.118.233,15</w:t>
      </w:r>
      <w:r w:rsidR="00A75873" w:rsidRPr="00DD1154">
        <w:t xml:space="preserve"> </w:t>
      </w:r>
      <w:r w:rsidR="00823867" w:rsidRPr="00DD1154">
        <w:t>kn</w:t>
      </w:r>
      <w:r w:rsidR="00B2423C" w:rsidRPr="00DD1154">
        <w:t xml:space="preserve"> </w:t>
      </w:r>
    </w:p>
    <w:p w14:paraId="0D16BF0B" w14:textId="03D3D48D" w:rsidR="00B966A6" w:rsidRPr="00DD1154" w:rsidRDefault="00657BFF" w:rsidP="008D4D94">
      <w:pPr>
        <w:pStyle w:val="ListParagraph"/>
        <w:numPr>
          <w:ilvl w:val="0"/>
          <w:numId w:val="3"/>
        </w:numPr>
        <w:spacing w:after="0"/>
      </w:pPr>
      <w:r w:rsidRPr="00DD1154">
        <w:t xml:space="preserve">za programe i projekte energetske učinkovitosti </w:t>
      </w:r>
      <w:r w:rsidR="006A3B36" w:rsidRPr="00DD1154">
        <w:t>109.279.430,62</w:t>
      </w:r>
      <w:r w:rsidR="00A75873" w:rsidRPr="00DD1154">
        <w:t xml:space="preserve"> </w:t>
      </w:r>
      <w:r w:rsidR="00823867" w:rsidRPr="00DD1154">
        <w:t>kn</w:t>
      </w:r>
      <w:r w:rsidR="00B2423C" w:rsidRPr="00DD1154">
        <w:t xml:space="preserve"> i</w:t>
      </w:r>
    </w:p>
    <w:p w14:paraId="7EAD0CCE" w14:textId="089BEA07" w:rsidR="00B2423C" w:rsidRPr="00DD1154" w:rsidRDefault="00B2423C" w:rsidP="008D4D94">
      <w:pPr>
        <w:pStyle w:val="ListParagraph"/>
        <w:numPr>
          <w:ilvl w:val="0"/>
          <w:numId w:val="3"/>
        </w:numPr>
        <w:spacing w:after="0"/>
      </w:pPr>
      <w:r w:rsidRPr="00DD1154">
        <w:t xml:space="preserve">iznos od 226.500.000 </w:t>
      </w:r>
      <w:r w:rsidR="00823867" w:rsidRPr="00DD1154">
        <w:t>kn</w:t>
      </w:r>
      <w:r w:rsidRPr="00DD1154">
        <w:t xml:space="preserve"> koji je temeljem preraspodjele utrošen za podmirenje obveza nastalih u provedbi Programa energetske obnove obiteljskih kuća za razdoblje od 2014. do 2020. godine.</w:t>
      </w:r>
    </w:p>
    <w:p w14:paraId="5E1C0F9B" w14:textId="6BFFB7F7" w:rsidR="005E5A5D" w:rsidRPr="00DD1154" w:rsidRDefault="00D35860" w:rsidP="00D35860">
      <w:pPr>
        <w:spacing w:after="0"/>
        <w:rPr>
          <w:bCs/>
        </w:rPr>
      </w:pPr>
      <w:r w:rsidRPr="00DD1154">
        <w:t xml:space="preserve">Obzirom da je Fond tijekom </w:t>
      </w:r>
      <w:r w:rsidRPr="00DD1154">
        <w:rPr>
          <w:bCs/>
        </w:rPr>
        <w:t xml:space="preserve">2019. godine ostvario prihod od prodaje emisijskih jedinica u iznosu od 512.090.235,96 </w:t>
      </w:r>
      <w:r w:rsidR="00823867" w:rsidRPr="00DD1154">
        <w:t>kn</w:t>
      </w:r>
      <w:r w:rsidRPr="00DD1154">
        <w:rPr>
          <w:bCs/>
        </w:rPr>
        <w:t xml:space="preserve"> i rashod u iznosu od 99.146.772,29 </w:t>
      </w:r>
      <w:r w:rsidR="00823867" w:rsidRPr="00DD1154">
        <w:t>kn</w:t>
      </w:r>
      <w:r w:rsidRPr="00DD1154">
        <w:rPr>
          <w:bCs/>
        </w:rPr>
        <w:t xml:space="preserve"> te da su neutrošena sredstva iz 2018. g</w:t>
      </w:r>
      <w:r w:rsidR="00F46123" w:rsidRPr="00DD1154">
        <w:rPr>
          <w:bCs/>
        </w:rPr>
        <w:t xml:space="preserve">odine iznosila 480.179.774,30 </w:t>
      </w:r>
      <w:r w:rsidR="00823867" w:rsidRPr="00DD1154">
        <w:t>kn</w:t>
      </w:r>
      <w:r w:rsidR="00F46123" w:rsidRPr="00DD1154">
        <w:rPr>
          <w:bCs/>
        </w:rPr>
        <w:t xml:space="preserve">, </w:t>
      </w:r>
      <w:r w:rsidRPr="00DD1154">
        <w:rPr>
          <w:bCs/>
        </w:rPr>
        <w:t>na dan 31. prosinca 2019. godine neutrošeno je bilo 893.123.237,97</w:t>
      </w:r>
      <w:r w:rsidR="00F46123" w:rsidRPr="00DD1154">
        <w:rPr>
          <w:bCs/>
        </w:rPr>
        <w:t xml:space="preserve"> </w:t>
      </w:r>
      <w:r w:rsidR="00823867" w:rsidRPr="00DD1154">
        <w:t>kn</w:t>
      </w:r>
      <w:r w:rsidRPr="00DD1154">
        <w:rPr>
          <w:bCs/>
        </w:rPr>
        <w:t xml:space="preserve"> namjenskih sredstava od prodaje emisijskih jedinica koja su bila prenesena u 2020. </w:t>
      </w:r>
      <w:r w:rsidR="005945E6" w:rsidRPr="00DD1154">
        <w:rPr>
          <w:bCs/>
        </w:rPr>
        <w:t xml:space="preserve">i koja </w:t>
      </w:r>
      <w:r w:rsidR="00C21DDD" w:rsidRPr="00DD1154">
        <w:rPr>
          <w:bCs/>
        </w:rPr>
        <w:t xml:space="preserve">su </w:t>
      </w:r>
      <w:r w:rsidR="005945E6" w:rsidRPr="00DD1154">
        <w:rPr>
          <w:bCs/>
        </w:rPr>
        <w:t xml:space="preserve">bila planirana za </w:t>
      </w:r>
      <w:r w:rsidRPr="00DD1154">
        <w:rPr>
          <w:bCs/>
        </w:rPr>
        <w:t xml:space="preserve">utrošiti sukladno Planu </w:t>
      </w:r>
      <w:r w:rsidRPr="00DD1154">
        <w:rPr>
          <w:bCs/>
        </w:rPr>
        <w:lastRenderedPageBreak/>
        <w:t>korištenja financijskih sredstava dobivenih od prodaje emisijskih jedinica putem dražbi u Republici Hrvatskoj do 2020. godine.</w:t>
      </w:r>
    </w:p>
    <w:p w14:paraId="420CAD68" w14:textId="77777777" w:rsidR="00DB4806" w:rsidRPr="00DD1154" w:rsidRDefault="00DB4806" w:rsidP="00D35860">
      <w:pPr>
        <w:spacing w:after="0"/>
        <w:rPr>
          <w:bCs/>
        </w:rPr>
      </w:pPr>
    </w:p>
    <w:p w14:paraId="6FB3DCF3" w14:textId="28F0EDEF" w:rsidR="001E3566" w:rsidRPr="00DD1154" w:rsidRDefault="00E7546D" w:rsidP="005E5A5D">
      <w:pPr>
        <w:spacing w:before="60" w:after="60"/>
        <w:rPr>
          <w:strike/>
        </w:rPr>
      </w:pPr>
      <w:r w:rsidRPr="00DD1154">
        <w:rPr>
          <w:rFonts w:eastAsia="Times New Roman"/>
          <w:bCs/>
          <w:lang w:eastAsia="hr-HR"/>
        </w:rPr>
        <w:t xml:space="preserve">Fond </w:t>
      </w:r>
      <w:r w:rsidR="00075610" w:rsidRPr="00DD1154">
        <w:rPr>
          <w:rFonts w:eastAsia="Times New Roman"/>
          <w:bCs/>
          <w:lang w:eastAsia="hr-HR"/>
        </w:rPr>
        <w:t xml:space="preserve">je </w:t>
      </w:r>
      <w:r w:rsidR="00556A9E" w:rsidRPr="00DD1154">
        <w:rPr>
          <w:rFonts w:eastAsia="Times New Roman"/>
          <w:bCs/>
          <w:lang w:eastAsia="hr-HR"/>
        </w:rPr>
        <w:t>u 2020</w:t>
      </w:r>
      <w:r w:rsidR="001F6B34" w:rsidRPr="00DD1154">
        <w:rPr>
          <w:rFonts w:eastAsia="Times New Roman"/>
          <w:bCs/>
          <w:lang w:eastAsia="hr-HR"/>
        </w:rPr>
        <w:t>. godini sukladno provedenim javnim pozivima, javnim natječajima i javnoj nabavi</w:t>
      </w:r>
      <w:r w:rsidR="00075610" w:rsidRPr="00DD1154">
        <w:rPr>
          <w:rFonts w:eastAsia="Times New Roman"/>
          <w:bCs/>
          <w:lang w:eastAsia="hr-HR"/>
        </w:rPr>
        <w:t xml:space="preserve"> </w:t>
      </w:r>
      <w:r w:rsidRPr="00DD1154">
        <w:rPr>
          <w:rFonts w:eastAsia="Times New Roman"/>
          <w:bCs/>
          <w:lang w:eastAsia="hr-HR"/>
        </w:rPr>
        <w:t>prov</w:t>
      </w:r>
      <w:r w:rsidR="00075610" w:rsidRPr="00DD1154">
        <w:rPr>
          <w:rFonts w:eastAsia="Times New Roman"/>
          <w:bCs/>
          <w:lang w:eastAsia="hr-HR"/>
        </w:rPr>
        <w:t>eo</w:t>
      </w:r>
      <w:r w:rsidRPr="00DD1154">
        <w:rPr>
          <w:rFonts w:eastAsia="Times New Roman"/>
          <w:bCs/>
          <w:lang w:eastAsia="hr-HR"/>
        </w:rPr>
        <w:t xml:space="preserve"> nove postupke dodjele sredstava ili preuzimanje novih financijskih obveza</w:t>
      </w:r>
      <w:r w:rsidR="00317F83" w:rsidRPr="00DD1154">
        <w:rPr>
          <w:rFonts w:eastAsia="Times New Roman"/>
          <w:bCs/>
          <w:lang w:eastAsia="hr-HR"/>
        </w:rPr>
        <w:t>, ali i nastavio realizaciju ranije ugovoren</w:t>
      </w:r>
      <w:r w:rsidR="005E5A5D" w:rsidRPr="00DD1154">
        <w:rPr>
          <w:rFonts w:eastAsia="Times New Roman"/>
          <w:bCs/>
          <w:lang w:eastAsia="hr-HR"/>
        </w:rPr>
        <w:t>ih višegodišnjih projekata sukladno</w:t>
      </w:r>
      <w:r w:rsidR="00317F83" w:rsidRPr="00DD1154">
        <w:rPr>
          <w:rFonts w:eastAsia="Times New Roman"/>
          <w:bCs/>
          <w:lang w:eastAsia="hr-HR"/>
        </w:rPr>
        <w:t xml:space="preserve"> njihovoj dinamici realizacije</w:t>
      </w:r>
      <w:r w:rsidR="005E5A5D" w:rsidRPr="00DD1154">
        <w:rPr>
          <w:rFonts w:eastAsia="Times New Roman"/>
          <w:bCs/>
          <w:lang w:eastAsia="hr-HR"/>
        </w:rPr>
        <w:t xml:space="preserve">, odnosno </w:t>
      </w:r>
      <w:r w:rsidR="00075610" w:rsidRPr="00DD1154">
        <w:rPr>
          <w:rFonts w:eastAsia="Times New Roman"/>
          <w:bCs/>
          <w:lang w:eastAsia="hr-HR"/>
        </w:rPr>
        <w:t>nastavio s</w:t>
      </w:r>
      <w:r w:rsidR="00075610" w:rsidRPr="00DD1154">
        <w:t xml:space="preserve"> namjenskim</w:t>
      </w:r>
      <w:r w:rsidR="00657BFF" w:rsidRPr="00DD1154">
        <w:t xml:space="preserve"> t</w:t>
      </w:r>
      <w:r w:rsidR="00823867" w:rsidRPr="00DD1154">
        <w:t xml:space="preserve">rošenjem sredstava dobivenih prodajom emisijskih jedinica na dražbama, </w:t>
      </w:r>
      <w:r w:rsidR="001F6B34" w:rsidRPr="00DD1154">
        <w:t>sve</w:t>
      </w:r>
      <w:r w:rsidR="00033B5A" w:rsidRPr="00DD1154">
        <w:t xml:space="preserve"> sukladno Planu i Financijskom planu Fonda </w:t>
      </w:r>
      <w:r w:rsidR="00556A9E" w:rsidRPr="00DD1154">
        <w:t>za 2020. godinu s projekcijama za 2021. i 2022</w:t>
      </w:r>
      <w:r w:rsidR="00F46123" w:rsidRPr="00DD1154">
        <w:t>.</w:t>
      </w:r>
    </w:p>
    <w:p w14:paraId="3A35D973" w14:textId="77777777" w:rsidR="00603D49" w:rsidRPr="00DD1154" w:rsidRDefault="00603D49" w:rsidP="005E5A5D">
      <w:pPr>
        <w:spacing w:before="60" w:after="60"/>
        <w:rPr>
          <w:strike/>
        </w:rPr>
      </w:pPr>
    </w:p>
    <w:p w14:paraId="3EE3E48C" w14:textId="5FD22C93" w:rsidR="00603D49" w:rsidRPr="00DD1154" w:rsidRDefault="00603D49" w:rsidP="00603D49">
      <w:pPr>
        <w:spacing w:after="0"/>
        <w:rPr>
          <w:bCs/>
        </w:rPr>
      </w:pPr>
      <w:r w:rsidRPr="00DD1154">
        <w:rPr>
          <w:bCs/>
        </w:rPr>
        <w:t>Ako se iznosu neutrošenih sredstava (neutrošena sredstva u ovom kontekstu se odnose na neisplaćena sredstva po preuzetim obvezama prema sklopljenim ugovorima za višegodišnje projekte koji su zbog pandemije uzrokovane COVID-19</w:t>
      </w:r>
      <w:r w:rsidR="00E03319" w:rsidRPr="00DD1154">
        <w:rPr>
          <w:bCs/>
        </w:rPr>
        <w:t>, a</w:t>
      </w:r>
      <w:r w:rsidRPr="00DD1154">
        <w:rPr>
          <w:bCs/>
        </w:rPr>
        <w:t xml:space="preserve"> neki i uslijed potresa u Zagrebu dodatno usporili s dinamikom realizacije) </w:t>
      </w:r>
      <w:r w:rsidR="00F46123" w:rsidRPr="00DD1154">
        <w:rPr>
          <w:bCs/>
        </w:rPr>
        <w:t xml:space="preserve">od </w:t>
      </w:r>
      <w:r w:rsidRPr="00DD1154">
        <w:rPr>
          <w:bCs/>
        </w:rPr>
        <w:t xml:space="preserve">893.123.237,97 </w:t>
      </w:r>
      <w:r w:rsidR="00823867" w:rsidRPr="00DD1154">
        <w:t>kn</w:t>
      </w:r>
      <w:r w:rsidRPr="00DD1154">
        <w:rPr>
          <w:bCs/>
        </w:rPr>
        <w:t xml:space="preserve"> na dan 31. prosinca 2019. pribroji prihod Fonda u 2020. u iznosu od 516.591.316,41 </w:t>
      </w:r>
      <w:r w:rsidR="00823867" w:rsidRPr="00DD1154">
        <w:t>kn</w:t>
      </w:r>
      <w:r w:rsidR="00823867" w:rsidRPr="00DD1154">
        <w:rPr>
          <w:bCs/>
        </w:rPr>
        <w:t xml:space="preserve"> </w:t>
      </w:r>
      <w:r w:rsidRPr="00DD1154">
        <w:rPr>
          <w:bCs/>
        </w:rPr>
        <w:t>i odbije realizacija ili ras</w:t>
      </w:r>
      <w:r w:rsidR="00F46123" w:rsidRPr="00DD1154">
        <w:rPr>
          <w:bCs/>
        </w:rPr>
        <w:t>hod u 2020. od 324.750.891,</w:t>
      </w:r>
      <w:r w:rsidR="000C1538">
        <w:rPr>
          <w:bCs/>
        </w:rPr>
        <w:t>48</w:t>
      </w:r>
      <w:r w:rsidR="000532CC" w:rsidRPr="00DD1154">
        <w:rPr>
          <w:bCs/>
        </w:rPr>
        <w:t xml:space="preserve"> </w:t>
      </w:r>
      <w:r w:rsidR="00823867" w:rsidRPr="00DD1154">
        <w:t>kn,</w:t>
      </w:r>
      <w:r w:rsidR="00823867" w:rsidRPr="00DD1154">
        <w:rPr>
          <w:bCs/>
        </w:rPr>
        <w:t xml:space="preserve"> </w:t>
      </w:r>
      <w:r w:rsidRPr="00DD1154">
        <w:rPr>
          <w:bCs/>
        </w:rPr>
        <w:t xml:space="preserve">na dan 31. prosinca 2020. preostaje iznos od 1.084.963.663 </w:t>
      </w:r>
      <w:r w:rsidR="00823867" w:rsidRPr="00DD1154">
        <w:t>kn</w:t>
      </w:r>
      <w:r w:rsidRPr="00DD1154">
        <w:rPr>
          <w:bCs/>
        </w:rPr>
        <w:t>.</w:t>
      </w:r>
    </w:p>
    <w:p w14:paraId="7D58BF98" w14:textId="77777777" w:rsidR="00603D49" w:rsidRPr="00DD1154" w:rsidRDefault="00603D49" w:rsidP="00603D49">
      <w:pPr>
        <w:spacing w:after="0"/>
        <w:rPr>
          <w:bCs/>
        </w:rPr>
      </w:pPr>
    </w:p>
    <w:p w14:paraId="2379E693" w14:textId="57FF3383" w:rsidR="006229F7" w:rsidRPr="00DD1154" w:rsidRDefault="00603D49" w:rsidP="00A53C93">
      <w:pPr>
        <w:spacing w:after="0"/>
        <w:rPr>
          <w:bCs/>
        </w:rPr>
      </w:pPr>
      <w:r w:rsidRPr="00DD1154">
        <w:rPr>
          <w:bCs/>
        </w:rPr>
        <w:t xml:space="preserve">Sredstva u iznosu od 189.455.210,66 </w:t>
      </w:r>
      <w:r w:rsidR="00C11641" w:rsidRPr="00DD1154">
        <w:t>kn</w:t>
      </w:r>
      <w:r w:rsidRPr="00DD1154">
        <w:rPr>
          <w:bCs/>
        </w:rPr>
        <w:t xml:space="preserve"> nisu dodijeljena, odnosno </w:t>
      </w:r>
      <w:r w:rsidR="00F46123" w:rsidRPr="00DD1154">
        <w:rPr>
          <w:bCs/>
        </w:rPr>
        <w:t>nisu ugovorena</w:t>
      </w:r>
      <w:r w:rsidRPr="00DD1154">
        <w:rPr>
          <w:bCs/>
        </w:rPr>
        <w:t xml:space="preserve"> do 31. prosinca 2020</w:t>
      </w:r>
      <w:r w:rsidR="00D83FBD" w:rsidRPr="00DD1154">
        <w:rPr>
          <w:bCs/>
        </w:rPr>
        <w:t>. ili do konca poslovne 2020. godine, kako je predviđeno</w:t>
      </w:r>
      <w:r w:rsidR="002F5296" w:rsidRPr="00DD1154">
        <w:rPr>
          <w:bCs/>
        </w:rPr>
        <w:t xml:space="preserve"> Pl</w:t>
      </w:r>
      <w:r w:rsidR="00D83FBD" w:rsidRPr="00DD1154">
        <w:rPr>
          <w:bCs/>
        </w:rPr>
        <w:t>anom nego</w:t>
      </w:r>
      <w:r w:rsidR="002F5296" w:rsidRPr="00DD1154">
        <w:rPr>
          <w:bCs/>
        </w:rPr>
        <w:t xml:space="preserve"> se prenose u naredni plan korištenja financijskih sredstava od dražbi za </w:t>
      </w:r>
      <w:r w:rsidR="00D83FBD" w:rsidRPr="00DD1154">
        <w:rPr>
          <w:bCs/>
        </w:rPr>
        <w:t xml:space="preserve">naredno </w:t>
      </w:r>
      <w:r w:rsidR="002F5296" w:rsidRPr="00DD1154">
        <w:rPr>
          <w:bCs/>
        </w:rPr>
        <w:t xml:space="preserve">razdoblje od 2021. do 2025. Preostale preuzete </w:t>
      </w:r>
      <w:r w:rsidR="00D83FBD" w:rsidRPr="00DD1154">
        <w:rPr>
          <w:bCs/>
        </w:rPr>
        <w:t xml:space="preserve">i ugovorene obveze, koje još nisu realizirane (isplaćene), </w:t>
      </w:r>
      <w:r w:rsidR="002F5296" w:rsidRPr="00DD1154">
        <w:rPr>
          <w:bCs/>
        </w:rPr>
        <w:t xml:space="preserve">na </w:t>
      </w:r>
      <w:r w:rsidR="00D83FBD" w:rsidRPr="00DD1154">
        <w:rPr>
          <w:bCs/>
        </w:rPr>
        <w:t xml:space="preserve">dan </w:t>
      </w:r>
      <w:r w:rsidR="002F5296" w:rsidRPr="00DD1154">
        <w:rPr>
          <w:bCs/>
        </w:rPr>
        <w:t>31. prosinca</w:t>
      </w:r>
      <w:r w:rsidR="00D83FBD" w:rsidRPr="00DD1154">
        <w:rPr>
          <w:bCs/>
        </w:rPr>
        <w:t xml:space="preserve"> 2020. iznose </w:t>
      </w:r>
      <w:r w:rsidR="00D83FBD" w:rsidRPr="00DD1154">
        <w:rPr>
          <w:b/>
        </w:rPr>
        <w:t xml:space="preserve">895.508.452,92 </w:t>
      </w:r>
      <w:r w:rsidR="00C11641" w:rsidRPr="00DD1154">
        <w:rPr>
          <w:b/>
        </w:rPr>
        <w:t>kn</w:t>
      </w:r>
      <w:r w:rsidR="00E03319" w:rsidRPr="00DD1154">
        <w:rPr>
          <w:bCs/>
        </w:rPr>
        <w:t>. O njihovoj realizaciji (isplati)</w:t>
      </w:r>
      <w:r w:rsidR="00D83FBD" w:rsidRPr="00DD1154">
        <w:rPr>
          <w:bCs/>
        </w:rPr>
        <w:t xml:space="preserve"> će se </w:t>
      </w:r>
      <w:r w:rsidR="005A525B" w:rsidRPr="00DD1154">
        <w:rPr>
          <w:bCs/>
        </w:rPr>
        <w:t>izvijestiti u narednom razdoblju sukladno dinamici realizacije projekata</w:t>
      </w:r>
      <w:r w:rsidR="00E03319" w:rsidRPr="00DD1154">
        <w:rPr>
          <w:bCs/>
        </w:rPr>
        <w:t xml:space="preserve"> i </w:t>
      </w:r>
      <w:r w:rsidR="00D37F66" w:rsidRPr="00DD1154">
        <w:rPr>
          <w:bCs/>
        </w:rPr>
        <w:t>z</w:t>
      </w:r>
      <w:r w:rsidR="00E03319" w:rsidRPr="00DD1154">
        <w:rPr>
          <w:bCs/>
        </w:rPr>
        <w:t>akonskoj obvezi</w:t>
      </w:r>
      <w:r w:rsidR="00D37F66" w:rsidRPr="00DD1154">
        <w:rPr>
          <w:bCs/>
        </w:rPr>
        <w:t xml:space="preserve">, a preuzete obveze po mjerama iz Plana su prikazane u </w:t>
      </w:r>
      <w:r w:rsidR="00D37F66" w:rsidRPr="00DD1154">
        <w:rPr>
          <w:bCs/>
          <w:iCs/>
        </w:rPr>
        <w:t>Prilogu 1.</w:t>
      </w:r>
      <w:r w:rsidR="00A53C93" w:rsidRPr="00DD1154">
        <w:rPr>
          <w:bCs/>
        </w:rPr>
        <w:t xml:space="preserve"> </w:t>
      </w:r>
      <w:r w:rsidR="00D37F66" w:rsidRPr="00DD1154">
        <w:rPr>
          <w:bCs/>
        </w:rPr>
        <w:t>ovoga Izvješća</w:t>
      </w:r>
      <w:r w:rsidR="00A53C93" w:rsidRPr="00DD1154">
        <w:rPr>
          <w:bCs/>
        </w:rPr>
        <w:t xml:space="preserve"> gdje je također dat d</w:t>
      </w:r>
      <w:r w:rsidR="002F5296" w:rsidRPr="00DD1154">
        <w:t>eta</w:t>
      </w:r>
      <w:r w:rsidR="00A53C93" w:rsidRPr="00DD1154">
        <w:t>ljan</w:t>
      </w:r>
      <w:r w:rsidR="002F5296" w:rsidRPr="00DD1154">
        <w:t xml:space="preserve"> prikaz </w:t>
      </w:r>
      <w:r w:rsidR="006229F7" w:rsidRPr="00DD1154">
        <w:t xml:space="preserve">realizacije po mjerama za </w:t>
      </w:r>
      <w:r w:rsidR="00A53C93" w:rsidRPr="00DD1154">
        <w:t xml:space="preserve">ukupno </w:t>
      </w:r>
      <w:r w:rsidR="006229F7" w:rsidRPr="00DD1154">
        <w:t xml:space="preserve">razdoblje 2017. - 2020. </w:t>
      </w:r>
    </w:p>
    <w:p w14:paraId="3898E7C9" w14:textId="15CE44AB" w:rsidR="00603D49" w:rsidRPr="00DD1154" w:rsidRDefault="00603D49" w:rsidP="005E5A5D">
      <w:pPr>
        <w:spacing w:before="60" w:after="60"/>
        <w:rPr>
          <w:strike/>
        </w:rPr>
      </w:pPr>
    </w:p>
    <w:p w14:paraId="65C9C0AD" w14:textId="68CCA3A3" w:rsidR="00B966A6" w:rsidRPr="00DD1154" w:rsidRDefault="0045717B" w:rsidP="002F5296">
      <w:pPr>
        <w:spacing w:before="60" w:after="240"/>
        <w:rPr>
          <w:b/>
          <w:noProof/>
        </w:rPr>
      </w:pPr>
      <w:r w:rsidRPr="00DD1154">
        <w:t>U</w:t>
      </w:r>
      <w:r w:rsidR="0013239D" w:rsidRPr="00DD1154">
        <w:t xml:space="preserve"> </w:t>
      </w:r>
      <w:r w:rsidR="0013239D" w:rsidRPr="00DD1154">
        <w:rPr>
          <w:b/>
        </w:rPr>
        <w:t>T</w:t>
      </w:r>
      <w:r w:rsidR="00B966A6" w:rsidRPr="00DD1154">
        <w:rPr>
          <w:b/>
        </w:rPr>
        <w:t>ablic</w:t>
      </w:r>
      <w:r w:rsidRPr="00DD1154">
        <w:rPr>
          <w:b/>
        </w:rPr>
        <w:t>i</w:t>
      </w:r>
      <w:r w:rsidR="00B966A6" w:rsidRPr="00DD1154">
        <w:rPr>
          <w:b/>
        </w:rPr>
        <w:t xml:space="preserve"> 1.</w:t>
      </w:r>
      <w:r w:rsidR="009A1F98" w:rsidRPr="00DD1154">
        <w:rPr>
          <w:b/>
        </w:rPr>
        <w:t>1</w:t>
      </w:r>
      <w:r w:rsidR="0002604D" w:rsidRPr="00DD1154">
        <w:rPr>
          <w:b/>
        </w:rPr>
        <w:t>.</w:t>
      </w:r>
      <w:r w:rsidR="0002604D" w:rsidRPr="00DD1154">
        <w:t xml:space="preserve"> prikazani</w:t>
      </w:r>
      <w:r w:rsidR="00B966A6" w:rsidRPr="00DD1154">
        <w:t xml:space="preserve"> </w:t>
      </w:r>
      <w:r w:rsidRPr="00DD1154">
        <w:t>su</w:t>
      </w:r>
      <w:r w:rsidR="00B966A6" w:rsidRPr="00DD1154">
        <w:t xml:space="preserve"> </w:t>
      </w:r>
      <w:r w:rsidRPr="00DD1154">
        <w:t>rashodi od trgova</w:t>
      </w:r>
      <w:r w:rsidR="00BE586B" w:rsidRPr="00DD1154">
        <w:t xml:space="preserve">nja emisijskim jedinicama u </w:t>
      </w:r>
      <w:r w:rsidR="00DB4806" w:rsidRPr="00DD1154">
        <w:t xml:space="preserve">2019. i </w:t>
      </w:r>
      <w:r w:rsidR="00BE586B" w:rsidRPr="00DD1154">
        <w:t>2020</w:t>
      </w:r>
      <w:r w:rsidRPr="00DD1154">
        <w:t xml:space="preserve">. godini u </w:t>
      </w:r>
      <w:r w:rsidR="00B966A6" w:rsidRPr="00DD1154">
        <w:t>korelacij</w:t>
      </w:r>
      <w:r w:rsidRPr="00DD1154">
        <w:t>i</w:t>
      </w:r>
      <w:r w:rsidR="00B966A6" w:rsidRPr="00DD1154">
        <w:t xml:space="preserve"> </w:t>
      </w:r>
      <w:r w:rsidRPr="00DD1154">
        <w:t>mjera iz Plana s</w:t>
      </w:r>
      <w:r w:rsidR="00B966A6" w:rsidRPr="00DD1154">
        <w:t xml:space="preserve"> aktivnosti</w:t>
      </w:r>
      <w:r w:rsidRPr="00DD1154">
        <w:t>ma</w:t>
      </w:r>
      <w:r w:rsidR="00B966A6" w:rsidRPr="00DD1154">
        <w:t xml:space="preserve"> </w:t>
      </w:r>
      <w:r w:rsidR="00C11641" w:rsidRPr="00DD1154">
        <w:t xml:space="preserve">iz </w:t>
      </w:r>
      <w:r w:rsidR="00B966A6" w:rsidRPr="00DD1154">
        <w:rPr>
          <w:iCs/>
        </w:rPr>
        <w:t>Financijsk</w:t>
      </w:r>
      <w:r w:rsidR="00C11641" w:rsidRPr="00DD1154">
        <w:rPr>
          <w:iCs/>
        </w:rPr>
        <w:t>ih</w:t>
      </w:r>
      <w:r w:rsidR="00B966A6" w:rsidRPr="00DD1154">
        <w:rPr>
          <w:iCs/>
        </w:rPr>
        <w:t xml:space="preserve"> plan</w:t>
      </w:r>
      <w:r w:rsidR="00C11641" w:rsidRPr="00DD1154">
        <w:rPr>
          <w:iCs/>
        </w:rPr>
        <w:t>ova</w:t>
      </w:r>
      <w:r w:rsidR="00B966A6" w:rsidRPr="00DD1154">
        <w:rPr>
          <w:iCs/>
        </w:rPr>
        <w:t xml:space="preserve"> Fonda</w:t>
      </w:r>
      <w:r w:rsidR="00DB4806" w:rsidRPr="00DD1154">
        <w:rPr>
          <w:iCs/>
        </w:rPr>
        <w:t xml:space="preserve"> za 2019. </w:t>
      </w:r>
      <w:r w:rsidR="00C11641" w:rsidRPr="00DD1154">
        <w:rPr>
          <w:iCs/>
        </w:rPr>
        <w:t xml:space="preserve">i 2020. </w:t>
      </w:r>
      <w:r w:rsidR="00DB4806" w:rsidRPr="00DD1154">
        <w:rPr>
          <w:iCs/>
        </w:rPr>
        <w:t>godinu</w:t>
      </w:r>
      <w:r w:rsidRPr="00DD1154">
        <w:t>, a samo izvršenje po prioritet</w:t>
      </w:r>
      <w:r w:rsidR="00BE586B" w:rsidRPr="00DD1154">
        <w:t xml:space="preserve">nim mjerama </w:t>
      </w:r>
      <w:r w:rsidR="00DB4806" w:rsidRPr="00DD1154">
        <w:t xml:space="preserve">Plana </w:t>
      </w:r>
      <w:r w:rsidR="00BE586B" w:rsidRPr="00DD1154">
        <w:t xml:space="preserve">u </w:t>
      </w:r>
      <w:r w:rsidR="00DB4806" w:rsidRPr="00DD1154">
        <w:t xml:space="preserve">2019. i </w:t>
      </w:r>
      <w:r w:rsidR="00BE586B" w:rsidRPr="00DD1154">
        <w:t>2020</w:t>
      </w:r>
      <w:r w:rsidR="0013239D" w:rsidRPr="00DD1154">
        <w:t xml:space="preserve">. godini prikazano je u </w:t>
      </w:r>
      <w:r w:rsidR="0013239D" w:rsidRPr="00DD1154">
        <w:rPr>
          <w:b/>
        </w:rPr>
        <w:t>T</w:t>
      </w:r>
      <w:r w:rsidRPr="00DD1154">
        <w:rPr>
          <w:b/>
        </w:rPr>
        <w:t>ablici 1.2.</w:t>
      </w:r>
    </w:p>
    <w:p w14:paraId="2BCA958B" w14:textId="24C288C5" w:rsidR="00F2340D" w:rsidRPr="00DD1154" w:rsidRDefault="00657BFF" w:rsidP="00C30297">
      <w:pPr>
        <w:pStyle w:val="Caption"/>
        <w:keepNext/>
        <w:spacing w:after="0" w:line="276" w:lineRule="auto"/>
        <w:ind w:left="1410" w:hanging="1410"/>
        <w:rPr>
          <w:b w:val="0"/>
          <w:color w:val="auto"/>
          <w:sz w:val="24"/>
          <w:szCs w:val="24"/>
        </w:rPr>
      </w:pPr>
      <w:r w:rsidRPr="00DD1154">
        <w:rPr>
          <w:color w:val="auto"/>
          <w:sz w:val="24"/>
          <w:szCs w:val="24"/>
        </w:rPr>
        <w:t xml:space="preserve">Tablica </w:t>
      </w:r>
      <w:r w:rsidR="007C054B" w:rsidRPr="00DD1154">
        <w:rPr>
          <w:color w:val="auto"/>
          <w:sz w:val="24"/>
          <w:szCs w:val="24"/>
        </w:rPr>
        <w:t>1</w:t>
      </w:r>
      <w:r w:rsidR="009A1F98" w:rsidRPr="00DD1154">
        <w:rPr>
          <w:color w:val="auto"/>
          <w:sz w:val="24"/>
          <w:szCs w:val="24"/>
        </w:rPr>
        <w:t>.1</w:t>
      </w:r>
      <w:r w:rsidR="00FC36B7" w:rsidRPr="00DD1154">
        <w:rPr>
          <w:color w:val="auto"/>
          <w:sz w:val="24"/>
          <w:szCs w:val="24"/>
        </w:rPr>
        <w:t>.</w:t>
      </w:r>
      <w:r w:rsidR="00FC36B7" w:rsidRPr="00DD1154">
        <w:rPr>
          <w:color w:val="auto"/>
          <w:sz w:val="24"/>
          <w:szCs w:val="24"/>
        </w:rPr>
        <w:tab/>
      </w:r>
      <w:r w:rsidR="00FC36B7" w:rsidRPr="00DD1154">
        <w:rPr>
          <w:color w:val="auto"/>
          <w:sz w:val="24"/>
          <w:szCs w:val="24"/>
        </w:rPr>
        <w:tab/>
      </w:r>
      <w:r w:rsidRPr="00DD1154">
        <w:rPr>
          <w:b w:val="0"/>
          <w:color w:val="auto"/>
          <w:sz w:val="24"/>
          <w:szCs w:val="24"/>
        </w:rPr>
        <w:t>Ostvareni rashodi od trgov</w:t>
      </w:r>
      <w:r w:rsidR="00BE586B" w:rsidRPr="00DD1154">
        <w:rPr>
          <w:b w:val="0"/>
          <w:color w:val="auto"/>
          <w:sz w:val="24"/>
          <w:szCs w:val="24"/>
        </w:rPr>
        <w:t xml:space="preserve">anja emisijskim jedinicama u </w:t>
      </w:r>
      <w:r w:rsidR="00DB4806" w:rsidRPr="00DD1154">
        <w:rPr>
          <w:b w:val="0"/>
          <w:color w:val="auto"/>
          <w:sz w:val="24"/>
          <w:szCs w:val="24"/>
        </w:rPr>
        <w:t xml:space="preserve">2019. i </w:t>
      </w:r>
      <w:r w:rsidR="00BE586B" w:rsidRPr="00DD1154">
        <w:rPr>
          <w:b w:val="0"/>
          <w:color w:val="auto"/>
          <w:sz w:val="24"/>
          <w:szCs w:val="24"/>
        </w:rPr>
        <w:t>2020</w:t>
      </w:r>
      <w:r w:rsidRPr="00DD1154">
        <w:rPr>
          <w:b w:val="0"/>
          <w:color w:val="auto"/>
          <w:sz w:val="24"/>
          <w:szCs w:val="24"/>
        </w:rPr>
        <w:t>. god</w:t>
      </w:r>
      <w:r w:rsidR="00DB4806" w:rsidRPr="00DD1154">
        <w:rPr>
          <w:b w:val="0"/>
          <w:color w:val="auto"/>
          <w:sz w:val="24"/>
          <w:szCs w:val="24"/>
        </w:rPr>
        <w:t>ini po aktivnostima Financijskih planova</w:t>
      </w:r>
      <w:r w:rsidRPr="00DD1154">
        <w:rPr>
          <w:b w:val="0"/>
          <w:color w:val="auto"/>
          <w:sz w:val="24"/>
          <w:szCs w:val="24"/>
        </w:rPr>
        <w:t xml:space="preserve"> Fonda</w:t>
      </w:r>
      <w:r w:rsidR="00DB4806" w:rsidRPr="00DD1154">
        <w:rPr>
          <w:b w:val="0"/>
          <w:color w:val="auto"/>
          <w:sz w:val="24"/>
          <w:szCs w:val="24"/>
        </w:rPr>
        <w:t xml:space="preserve"> za 2019. i 2020.</w:t>
      </w:r>
      <w:r w:rsidRPr="00DD1154">
        <w:rPr>
          <w:b w:val="0"/>
          <w:color w:val="auto"/>
          <w:sz w:val="24"/>
          <w:szCs w:val="24"/>
        </w:rPr>
        <w:t>, s poveznicama na mjere iz Plana</w:t>
      </w:r>
      <w:r w:rsidR="00417106" w:rsidRPr="00DD1154">
        <w:rPr>
          <w:b w:val="0"/>
          <w:color w:val="auto"/>
          <w:sz w:val="24"/>
          <w:szCs w:val="24"/>
        </w:rPr>
        <w:t>.</w:t>
      </w:r>
    </w:p>
    <w:tbl>
      <w:tblPr>
        <w:tblW w:w="9356" w:type="dxa"/>
        <w:tblInd w:w="-10" w:type="dxa"/>
        <w:tblLook w:val="04A0" w:firstRow="1" w:lastRow="0" w:firstColumn="1" w:lastColumn="0" w:noHBand="0" w:noVBand="1"/>
      </w:tblPr>
      <w:tblGrid>
        <w:gridCol w:w="4111"/>
        <w:gridCol w:w="1349"/>
        <w:gridCol w:w="1770"/>
        <w:gridCol w:w="2126"/>
      </w:tblGrid>
      <w:tr w:rsidR="00F2340D" w:rsidRPr="00DD1154" w14:paraId="34C5BEB5" w14:textId="77777777" w:rsidTr="00770AC3">
        <w:trPr>
          <w:trHeight w:val="949"/>
        </w:trPr>
        <w:tc>
          <w:tcPr>
            <w:tcW w:w="4111"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14:paraId="36332649" w14:textId="77777777" w:rsidR="00F2340D" w:rsidRPr="00DD1154" w:rsidRDefault="00F2340D" w:rsidP="00F2340D">
            <w:pPr>
              <w:spacing w:after="0" w:line="240" w:lineRule="auto"/>
              <w:rPr>
                <w:rFonts w:eastAsia="Times New Roman"/>
                <w:b/>
                <w:bCs/>
                <w:color w:val="000000"/>
                <w:lang w:eastAsia="hr-HR"/>
              </w:rPr>
            </w:pPr>
            <w:r w:rsidRPr="00DD1154">
              <w:rPr>
                <w:rFonts w:eastAsia="Times New Roman"/>
                <w:b/>
                <w:bCs/>
                <w:color w:val="000000"/>
                <w:lang w:eastAsia="hr-HR"/>
              </w:rPr>
              <w:t>Aktivnost Fonda</w:t>
            </w:r>
          </w:p>
        </w:tc>
        <w:tc>
          <w:tcPr>
            <w:tcW w:w="1349" w:type="dxa"/>
            <w:tcBorders>
              <w:top w:val="single" w:sz="8" w:space="0" w:color="auto"/>
              <w:left w:val="nil"/>
              <w:bottom w:val="single" w:sz="8" w:space="0" w:color="auto"/>
              <w:right w:val="single" w:sz="8" w:space="0" w:color="auto"/>
            </w:tcBorders>
            <w:shd w:val="clear" w:color="000000" w:fill="BDD7EE"/>
            <w:noWrap/>
            <w:vAlign w:val="center"/>
            <w:hideMark/>
          </w:tcPr>
          <w:p w14:paraId="635095E2" w14:textId="77777777" w:rsidR="00F2340D" w:rsidRPr="00DD1154" w:rsidRDefault="00F2340D" w:rsidP="00F2340D">
            <w:pPr>
              <w:spacing w:after="0" w:line="240" w:lineRule="auto"/>
              <w:rPr>
                <w:rFonts w:eastAsia="Times New Roman"/>
                <w:b/>
                <w:bCs/>
                <w:color w:val="000000"/>
                <w:lang w:eastAsia="hr-HR"/>
              </w:rPr>
            </w:pPr>
            <w:r w:rsidRPr="00DD1154">
              <w:rPr>
                <w:rFonts w:eastAsia="Times New Roman"/>
                <w:b/>
                <w:bCs/>
                <w:color w:val="000000"/>
                <w:lang w:eastAsia="hr-HR"/>
              </w:rPr>
              <w:t>Prioritetna mjera Plana</w:t>
            </w:r>
          </w:p>
        </w:tc>
        <w:tc>
          <w:tcPr>
            <w:tcW w:w="1770" w:type="dxa"/>
            <w:tcBorders>
              <w:top w:val="single" w:sz="8" w:space="0" w:color="auto"/>
              <w:left w:val="nil"/>
              <w:bottom w:val="single" w:sz="8" w:space="0" w:color="auto"/>
              <w:right w:val="single" w:sz="8" w:space="0" w:color="auto"/>
            </w:tcBorders>
            <w:shd w:val="clear" w:color="000000" w:fill="BDD7EE"/>
            <w:vAlign w:val="center"/>
            <w:hideMark/>
          </w:tcPr>
          <w:p w14:paraId="2592F75D" w14:textId="5539EF76" w:rsidR="00F2340D" w:rsidRPr="00DD1154" w:rsidRDefault="00F2340D" w:rsidP="00E413FF">
            <w:pPr>
              <w:spacing w:after="0" w:line="240" w:lineRule="auto"/>
              <w:jc w:val="center"/>
              <w:rPr>
                <w:rFonts w:eastAsia="Times New Roman"/>
                <w:b/>
                <w:bCs/>
                <w:color w:val="000000"/>
                <w:lang w:eastAsia="hr-HR"/>
              </w:rPr>
            </w:pPr>
            <w:r w:rsidRPr="00DD1154">
              <w:rPr>
                <w:rFonts w:eastAsia="Times New Roman"/>
                <w:b/>
                <w:bCs/>
                <w:color w:val="000000"/>
                <w:lang w:eastAsia="hr-HR"/>
              </w:rPr>
              <w:t>Realizacija 2019. [</w:t>
            </w:r>
            <w:r w:rsidR="00E413FF" w:rsidRPr="00DD1154">
              <w:rPr>
                <w:rFonts w:eastAsia="Times New Roman"/>
                <w:b/>
                <w:bCs/>
                <w:color w:val="000000"/>
                <w:lang w:eastAsia="hr-HR"/>
              </w:rPr>
              <w:t>kn</w:t>
            </w:r>
            <w:r w:rsidRPr="00DD1154">
              <w:rPr>
                <w:rFonts w:eastAsia="Times New Roman"/>
                <w:b/>
                <w:bCs/>
                <w:color w:val="000000"/>
                <w:lang w:eastAsia="hr-HR"/>
              </w:rPr>
              <w:t>]</w:t>
            </w:r>
          </w:p>
        </w:tc>
        <w:tc>
          <w:tcPr>
            <w:tcW w:w="2126" w:type="dxa"/>
            <w:tcBorders>
              <w:top w:val="single" w:sz="8" w:space="0" w:color="auto"/>
              <w:left w:val="nil"/>
              <w:bottom w:val="single" w:sz="8" w:space="0" w:color="auto"/>
              <w:right w:val="single" w:sz="8" w:space="0" w:color="auto"/>
            </w:tcBorders>
            <w:shd w:val="clear" w:color="000000" w:fill="BDD7EE"/>
            <w:vAlign w:val="center"/>
            <w:hideMark/>
          </w:tcPr>
          <w:p w14:paraId="122872B8" w14:textId="6447B63B" w:rsidR="00F2340D" w:rsidRPr="00DD1154" w:rsidRDefault="00F2340D" w:rsidP="00E413FF">
            <w:pPr>
              <w:spacing w:after="0" w:line="240" w:lineRule="auto"/>
              <w:jc w:val="center"/>
              <w:rPr>
                <w:rFonts w:eastAsia="Times New Roman"/>
                <w:b/>
                <w:bCs/>
                <w:color w:val="000000"/>
                <w:lang w:eastAsia="hr-HR"/>
              </w:rPr>
            </w:pPr>
            <w:r w:rsidRPr="00DD1154">
              <w:rPr>
                <w:rFonts w:eastAsia="Times New Roman"/>
                <w:b/>
                <w:bCs/>
                <w:color w:val="000000"/>
                <w:lang w:eastAsia="hr-HR"/>
              </w:rPr>
              <w:t>Realizacija 2020. [</w:t>
            </w:r>
            <w:r w:rsidR="00E413FF" w:rsidRPr="00DD1154">
              <w:rPr>
                <w:rFonts w:eastAsia="Times New Roman"/>
                <w:b/>
                <w:bCs/>
                <w:color w:val="000000"/>
                <w:lang w:eastAsia="hr-HR"/>
              </w:rPr>
              <w:t>kn</w:t>
            </w:r>
            <w:r w:rsidRPr="00DD1154">
              <w:rPr>
                <w:rFonts w:eastAsia="Times New Roman"/>
                <w:b/>
                <w:bCs/>
                <w:color w:val="000000"/>
                <w:lang w:eastAsia="hr-HR"/>
              </w:rPr>
              <w:t>]</w:t>
            </w:r>
          </w:p>
        </w:tc>
      </w:tr>
      <w:tr w:rsidR="00F2340D" w:rsidRPr="00DD1154" w14:paraId="5C4A9707" w14:textId="77777777" w:rsidTr="00F2340D">
        <w:trPr>
          <w:trHeight w:val="330"/>
        </w:trPr>
        <w:tc>
          <w:tcPr>
            <w:tcW w:w="4111" w:type="dxa"/>
            <w:tcBorders>
              <w:top w:val="nil"/>
              <w:left w:val="single" w:sz="8" w:space="0" w:color="auto"/>
              <w:bottom w:val="single" w:sz="8" w:space="0" w:color="auto"/>
              <w:right w:val="single" w:sz="8" w:space="0" w:color="auto"/>
            </w:tcBorders>
            <w:shd w:val="clear" w:color="000000" w:fill="9BC2E6"/>
            <w:noWrap/>
            <w:vAlign w:val="center"/>
            <w:hideMark/>
          </w:tcPr>
          <w:p w14:paraId="2131F2A2" w14:textId="77777777" w:rsidR="00F2340D" w:rsidRPr="00DD1154" w:rsidRDefault="00F2340D" w:rsidP="00F2340D">
            <w:pPr>
              <w:spacing w:after="0" w:line="240" w:lineRule="auto"/>
              <w:rPr>
                <w:rFonts w:eastAsia="Times New Roman"/>
                <w:b/>
                <w:bCs/>
                <w:color w:val="000000"/>
                <w:lang w:eastAsia="hr-HR"/>
              </w:rPr>
            </w:pPr>
            <w:r w:rsidRPr="00DD1154">
              <w:rPr>
                <w:rFonts w:eastAsia="Times New Roman"/>
                <w:b/>
                <w:bCs/>
                <w:color w:val="000000"/>
                <w:lang w:eastAsia="hr-HR"/>
              </w:rPr>
              <w:t>Programi i projekti zaštite okoliša</w:t>
            </w:r>
          </w:p>
        </w:tc>
        <w:tc>
          <w:tcPr>
            <w:tcW w:w="1349" w:type="dxa"/>
            <w:tcBorders>
              <w:top w:val="nil"/>
              <w:left w:val="nil"/>
              <w:bottom w:val="single" w:sz="8" w:space="0" w:color="auto"/>
              <w:right w:val="single" w:sz="8" w:space="0" w:color="auto"/>
            </w:tcBorders>
            <w:shd w:val="clear" w:color="000000" w:fill="9BC2E6"/>
            <w:noWrap/>
            <w:vAlign w:val="center"/>
            <w:hideMark/>
          </w:tcPr>
          <w:p w14:paraId="1435F244" w14:textId="77777777" w:rsidR="00F2340D" w:rsidRPr="00DD1154" w:rsidRDefault="00F2340D" w:rsidP="00F2340D">
            <w:pPr>
              <w:spacing w:after="0" w:line="240" w:lineRule="auto"/>
              <w:rPr>
                <w:rFonts w:eastAsia="Times New Roman"/>
                <w:b/>
                <w:bCs/>
                <w:color w:val="000000"/>
                <w:lang w:eastAsia="hr-HR"/>
              </w:rPr>
            </w:pPr>
            <w:r w:rsidRPr="00DD1154">
              <w:rPr>
                <w:rFonts w:eastAsia="Times New Roman"/>
                <w:b/>
                <w:bCs/>
                <w:color w:val="000000"/>
                <w:lang w:eastAsia="hr-HR"/>
              </w:rPr>
              <w:t> </w:t>
            </w:r>
          </w:p>
        </w:tc>
        <w:tc>
          <w:tcPr>
            <w:tcW w:w="1770" w:type="dxa"/>
            <w:tcBorders>
              <w:top w:val="nil"/>
              <w:left w:val="nil"/>
              <w:bottom w:val="single" w:sz="8" w:space="0" w:color="auto"/>
              <w:right w:val="single" w:sz="8" w:space="0" w:color="auto"/>
            </w:tcBorders>
            <w:shd w:val="clear" w:color="000000" w:fill="9BC2E6"/>
            <w:noWrap/>
            <w:vAlign w:val="center"/>
            <w:hideMark/>
          </w:tcPr>
          <w:p w14:paraId="749BE421" w14:textId="77777777" w:rsidR="00F2340D" w:rsidRPr="00DD1154" w:rsidRDefault="00F2340D" w:rsidP="00F2340D">
            <w:pPr>
              <w:spacing w:after="0" w:line="240" w:lineRule="auto"/>
              <w:jc w:val="right"/>
              <w:rPr>
                <w:rFonts w:eastAsia="Times New Roman"/>
                <w:b/>
                <w:bCs/>
                <w:color w:val="000000"/>
                <w:lang w:eastAsia="hr-HR"/>
              </w:rPr>
            </w:pPr>
            <w:r w:rsidRPr="00DD1154">
              <w:rPr>
                <w:rFonts w:eastAsia="Times New Roman"/>
                <w:b/>
                <w:bCs/>
                <w:color w:val="000000"/>
                <w:lang w:eastAsia="hr-HR"/>
              </w:rPr>
              <w:t>32.469.239,54</w:t>
            </w:r>
          </w:p>
        </w:tc>
        <w:tc>
          <w:tcPr>
            <w:tcW w:w="2126" w:type="dxa"/>
            <w:tcBorders>
              <w:top w:val="nil"/>
              <w:left w:val="nil"/>
              <w:bottom w:val="single" w:sz="8" w:space="0" w:color="auto"/>
              <w:right w:val="single" w:sz="8" w:space="0" w:color="auto"/>
            </w:tcBorders>
            <w:shd w:val="clear" w:color="000000" w:fill="9BC2E6"/>
            <w:noWrap/>
            <w:vAlign w:val="center"/>
            <w:hideMark/>
          </w:tcPr>
          <w:p w14:paraId="1B8BC67E" w14:textId="77777777" w:rsidR="00F2340D" w:rsidRPr="00DD1154" w:rsidRDefault="00F2340D" w:rsidP="00F2340D">
            <w:pPr>
              <w:spacing w:after="0" w:line="240" w:lineRule="auto"/>
              <w:jc w:val="right"/>
              <w:rPr>
                <w:rFonts w:eastAsia="Times New Roman"/>
                <w:b/>
                <w:bCs/>
                <w:color w:val="000000"/>
                <w:lang w:eastAsia="hr-HR"/>
              </w:rPr>
            </w:pPr>
            <w:r w:rsidRPr="00DD1154">
              <w:rPr>
                <w:rFonts w:eastAsia="Times New Roman"/>
                <w:b/>
                <w:bCs/>
                <w:color w:val="000000"/>
                <w:lang w:eastAsia="hr-HR"/>
              </w:rPr>
              <w:t>55.648.993,61</w:t>
            </w:r>
          </w:p>
        </w:tc>
      </w:tr>
      <w:tr w:rsidR="00F2340D" w:rsidRPr="00DD1154" w14:paraId="25AF76A2" w14:textId="77777777" w:rsidTr="00F2340D">
        <w:trPr>
          <w:trHeight w:val="330"/>
        </w:trPr>
        <w:tc>
          <w:tcPr>
            <w:tcW w:w="411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90DDC8"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Gospodarenje otpadom - Izgradnja centara za gospodarenje otpadom (K2009)</w:t>
            </w:r>
          </w:p>
        </w:tc>
        <w:tc>
          <w:tcPr>
            <w:tcW w:w="1349" w:type="dxa"/>
            <w:tcBorders>
              <w:top w:val="nil"/>
              <w:left w:val="nil"/>
              <w:bottom w:val="single" w:sz="8" w:space="0" w:color="auto"/>
              <w:right w:val="single" w:sz="8" w:space="0" w:color="auto"/>
            </w:tcBorders>
            <w:shd w:val="clear" w:color="auto" w:fill="auto"/>
            <w:noWrap/>
            <w:vAlign w:val="center"/>
            <w:hideMark/>
          </w:tcPr>
          <w:p w14:paraId="34990D43"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CGO</w:t>
            </w:r>
          </w:p>
        </w:tc>
        <w:tc>
          <w:tcPr>
            <w:tcW w:w="1770" w:type="dxa"/>
            <w:tcBorders>
              <w:top w:val="nil"/>
              <w:left w:val="nil"/>
              <w:bottom w:val="single" w:sz="8" w:space="0" w:color="auto"/>
              <w:right w:val="single" w:sz="8" w:space="0" w:color="auto"/>
            </w:tcBorders>
            <w:shd w:val="clear" w:color="auto" w:fill="auto"/>
            <w:noWrap/>
            <w:vAlign w:val="center"/>
            <w:hideMark/>
          </w:tcPr>
          <w:p w14:paraId="6E9E8161"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9.684.746,97</w:t>
            </w:r>
          </w:p>
        </w:tc>
        <w:tc>
          <w:tcPr>
            <w:tcW w:w="2126" w:type="dxa"/>
            <w:tcBorders>
              <w:top w:val="nil"/>
              <w:left w:val="nil"/>
              <w:bottom w:val="single" w:sz="8" w:space="0" w:color="auto"/>
              <w:right w:val="single" w:sz="8" w:space="0" w:color="auto"/>
            </w:tcBorders>
            <w:shd w:val="clear" w:color="auto" w:fill="auto"/>
            <w:noWrap/>
            <w:vAlign w:val="center"/>
            <w:hideMark/>
          </w:tcPr>
          <w:p w14:paraId="51D64F5D"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10.704.193,94</w:t>
            </w:r>
          </w:p>
        </w:tc>
      </w:tr>
      <w:tr w:rsidR="00F2340D" w:rsidRPr="00DD1154" w14:paraId="5522EC9D" w14:textId="77777777" w:rsidTr="00F2340D">
        <w:trPr>
          <w:trHeight w:val="330"/>
        </w:trPr>
        <w:tc>
          <w:tcPr>
            <w:tcW w:w="4111" w:type="dxa"/>
            <w:vMerge/>
            <w:tcBorders>
              <w:top w:val="nil"/>
              <w:left w:val="single" w:sz="8" w:space="0" w:color="auto"/>
              <w:bottom w:val="single" w:sz="8" w:space="0" w:color="000000"/>
              <w:right w:val="single" w:sz="8" w:space="0" w:color="auto"/>
            </w:tcBorders>
            <w:vAlign w:val="center"/>
            <w:hideMark/>
          </w:tcPr>
          <w:p w14:paraId="5766E224" w14:textId="77777777" w:rsidR="00F2340D" w:rsidRPr="00DD1154" w:rsidRDefault="00F2340D" w:rsidP="00F2340D">
            <w:pPr>
              <w:spacing w:after="0" w:line="240" w:lineRule="auto"/>
              <w:jc w:val="left"/>
              <w:rPr>
                <w:rFonts w:eastAsia="Times New Roman"/>
                <w:color w:val="000000"/>
                <w:lang w:eastAsia="hr-HR"/>
              </w:rPr>
            </w:pPr>
          </w:p>
        </w:tc>
        <w:tc>
          <w:tcPr>
            <w:tcW w:w="1349" w:type="dxa"/>
            <w:tcBorders>
              <w:top w:val="nil"/>
              <w:left w:val="nil"/>
              <w:bottom w:val="single" w:sz="8" w:space="0" w:color="auto"/>
              <w:right w:val="single" w:sz="8" w:space="0" w:color="auto"/>
            </w:tcBorders>
            <w:shd w:val="clear" w:color="auto" w:fill="auto"/>
            <w:noWrap/>
            <w:vAlign w:val="center"/>
            <w:hideMark/>
          </w:tcPr>
          <w:p w14:paraId="20FE6F3F"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NES/OT</w:t>
            </w:r>
          </w:p>
        </w:tc>
        <w:tc>
          <w:tcPr>
            <w:tcW w:w="1770" w:type="dxa"/>
            <w:tcBorders>
              <w:top w:val="nil"/>
              <w:left w:val="nil"/>
              <w:bottom w:val="single" w:sz="8" w:space="0" w:color="auto"/>
              <w:right w:val="single" w:sz="8" w:space="0" w:color="auto"/>
            </w:tcBorders>
            <w:shd w:val="clear" w:color="auto" w:fill="auto"/>
            <w:noWrap/>
            <w:vAlign w:val="center"/>
            <w:hideMark/>
          </w:tcPr>
          <w:p w14:paraId="5BFE9A81"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 </w:t>
            </w:r>
          </w:p>
        </w:tc>
        <w:tc>
          <w:tcPr>
            <w:tcW w:w="2126" w:type="dxa"/>
            <w:tcBorders>
              <w:top w:val="nil"/>
              <w:left w:val="nil"/>
              <w:bottom w:val="single" w:sz="8" w:space="0" w:color="auto"/>
              <w:right w:val="single" w:sz="8" w:space="0" w:color="auto"/>
            </w:tcBorders>
            <w:shd w:val="clear" w:color="auto" w:fill="auto"/>
            <w:noWrap/>
            <w:vAlign w:val="center"/>
            <w:hideMark/>
          </w:tcPr>
          <w:p w14:paraId="517A1FCD"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6.250,00</w:t>
            </w:r>
          </w:p>
        </w:tc>
      </w:tr>
      <w:tr w:rsidR="00F2340D" w:rsidRPr="00DD1154" w14:paraId="03DD77F9"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37DC2784"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Oporaba otpada i iskorištavanje vrijednih svojstava otpada (K2010)</w:t>
            </w:r>
          </w:p>
        </w:tc>
        <w:tc>
          <w:tcPr>
            <w:tcW w:w="1349" w:type="dxa"/>
            <w:tcBorders>
              <w:top w:val="nil"/>
              <w:left w:val="nil"/>
              <w:bottom w:val="single" w:sz="8" w:space="0" w:color="auto"/>
              <w:right w:val="single" w:sz="8" w:space="0" w:color="auto"/>
            </w:tcBorders>
            <w:shd w:val="clear" w:color="auto" w:fill="auto"/>
            <w:noWrap/>
            <w:vAlign w:val="center"/>
            <w:hideMark/>
          </w:tcPr>
          <w:p w14:paraId="13E4BCB0"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NES/OT</w:t>
            </w:r>
          </w:p>
        </w:tc>
        <w:tc>
          <w:tcPr>
            <w:tcW w:w="1770" w:type="dxa"/>
            <w:tcBorders>
              <w:top w:val="nil"/>
              <w:left w:val="nil"/>
              <w:bottom w:val="single" w:sz="8" w:space="0" w:color="auto"/>
              <w:right w:val="single" w:sz="8" w:space="0" w:color="auto"/>
            </w:tcBorders>
            <w:shd w:val="clear" w:color="auto" w:fill="auto"/>
            <w:noWrap/>
            <w:vAlign w:val="center"/>
            <w:hideMark/>
          </w:tcPr>
          <w:p w14:paraId="49275539"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197.500,00</w:t>
            </w:r>
          </w:p>
        </w:tc>
        <w:tc>
          <w:tcPr>
            <w:tcW w:w="2126" w:type="dxa"/>
            <w:tcBorders>
              <w:top w:val="nil"/>
              <w:left w:val="nil"/>
              <w:bottom w:val="single" w:sz="8" w:space="0" w:color="auto"/>
              <w:right w:val="single" w:sz="8" w:space="0" w:color="auto"/>
            </w:tcBorders>
            <w:shd w:val="clear" w:color="auto" w:fill="auto"/>
            <w:noWrap/>
            <w:vAlign w:val="center"/>
            <w:hideMark/>
          </w:tcPr>
          <w:p w14:paraId="04FD48C6"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40.000,00</w:t>
            </w:r>
          </w:p>
        </w:tc>
      </w:tr>
      <w:tr w:rsidR="00F2340D" w:rsidRPr="00DD1154" w14:paraId="4F48D98F" w14:textId="77777777" w:rsidTr="00F2340D">
        <w:trPr>
          <w:trHeight w:val="330"/>
        </w:trPr>
        <w:tc>
          <w:tcPr>
            <w:tcW w:w="411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504D18"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Zaštita, očuvanje i poboljšanje kakvoće zraka, tla, vode i mora (K2012)</w:t>
            </w:r>
          </w:p>
        </w:tc>
        <w:tc>
          <w:tcPr>
            <w:tcW w:w="1349" w:type="dxa"/>
            <w:tcBorders>
              <w:top w:val="nil"/>
              <w:left w:val="nil"/>
              <w:bottom w:val="single" w:sz="8" w:space="0" w:color="auto"/>
              <w:right w:val="single" w:sz="8" w:space="0" w:color="auto"/>
            </w:tcBorders>
            <w:shd w:val="clear" w:color="auto" w:fill="auto"/>
            <w:noWrap/>
            <w:vAlign w:val="center"/>
            <w:hideMark/>
          </w:tcPr>
          <w:p w14:paraId="3DAA700E"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IR</w:t>
            </w:r>
          </w:p>
        </w:tc>
        <w:tc>
          <w:tcPr>
            <w:tcW w:w="1770" w:type="dxa"/>
            <w:tcBorders>
              <w:top w:val="nil"/>
              <w:left w:val="nil"/>
              <w:bottom w:val="single" w:sz="8" w:space="0" w:color="auto"/>
              <w:right w:val="single" w:sz="8" w:space="0" w:color="auto"/>
            </w:tcBorders>
            <w:shd w:val="clear" w:color="auto" w:fill="auto"/>
            <w:noWrap/>
            <w:vAlign w:val="center"/>
            <w:hideMark/>
          </w:tcPr>
          <w:p w14:paraId="4E9996DC"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2.219.574,84</w:t>
            </w:r>
          </w:p>
        </w:tc>
        <w:tc>
          <w:tcPr>
            <w:tcW w:w="2126" w:type="dxa"/>
            <w:tcBorders>
              <w:top w:val="nil"/>
              <w:left w:val="nil"/>
              <w:bottom w:val="single" w:sz="8" w:space="0" w:color="auto"/>
              <w:right w:val="single" w:sz="8" w:space="0" w:color="auto"/>
            </w:tcBorders>
            <w:shd w:val="clear" w:color="auto" w:fill="auto"/>
            <w:noWrap/>
            <w:vAlign w:val="center"/>
            <w:hideMark/>
          </w:tcPr>
          <w:p w14:paraId="753D6497"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2.843.838,00</w:t>
            </w:r>
          </w:p>
        </w:tc>
      </w:tr>
      <w:tr w:rsidR="00F2340D" w:rsidRPr="00DD1154" w14:paraId="6C78CD19" w14:textId="77777777" w:rsidTr="00F2340D">
        <w:trPr>
          <w:trHeight w:val="330"/>
        </w:trPr>
        <w:tc>
          <w:tcPr>
            <w:tcW w:w="4111" w:type="dxa"/>
            <w:vMerge/>
            <w:tcBorders>
              <w:top w:val="nil"/>
              <w:left w:val="single" w:sz="8" w:space="0" w:color="auto"/>
              <w:bottom w:val="single" w:sz="8" w:space="0" w:color="000000"/>
              <w:right w:val="single" w:sz="8" w:space="0" w:color="auto"/>
            </w:tcBorders>
            <w:vAlign w:val="center"/>
            <w:hideMark/>
          </w:tcPr>
          <w:p w14:paraId="38CF2196" w14:textId="77777777" w:rsidR="00F2340D" w:rsidRPr="00DD1154" w:rsidRDefault="00F2340D" w:rsidP="00F2340D">
            <w:pPr>
              <w:spacing w:after="0" w:line="240" w:lineRule="auto"/>
              <w:jc w:val="left"/>
              <w:rPr>
                <w:rFonts w:eastAsia="Times New Roman"/>
                <w:color w:val="000000"/>
                <w:lang w:eastAsia="hr-HR"/>
              </w:rPr>
            </w:pPr>
          </w:p>
        </w:tc>
        <w:tc>
          <w:tcPr>
            <w:tcW w:w="1349" w:type="dxa"/>
            <w:tcBorders>
              <w:top w:val="nil"/>
              <w:left w:val="nil"/>
              <w:bottom w:val="single" w:sz="8" w:space="0" w:color="auto"/>
              <w:right w:val="single" w:sz="8" w:space="0" w:color="auto"/>
            </w:tcBorders>
            <w:shd w:val="clear" w:color="auto" w:fill="auto"/>
            <w:noWrap/>
            <w:vAlign w:val="center"/>
            <w:hideMark/>
          </w:tcPr>
          <w:p w14:paraId="7D483AC6"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ESIF</w:t>
            </w:r>
          </w:p>
        </w:tc>
        <w:tc>
          <w:tcPr>
            <w:tcW w:w="1770" w:type="dxa"/>
            <w:tcBorders>
              <w:top w:val="nil"/>
              <w:left w:val="nil"/>
              <w:bottom w:val="single" w:sz="8" w:space="0" w:color="auto"/>
              <w:right w:val="single" w:sz="8" w:space="0" w:color="auto"/>
            </w:tcBorders>
            <w:shd w:val="clear" w:color="auto" w:fill="auto"/>
            <w:noWrap/>
            <w:vAlign w:val="center"/>
            <w:hideMark/>
          </w:tcPr>
          <w:p w14:paraId="5703C27A"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 </w:t>
            </w:r>
          </w:p>
        </w:tc>
        <w:tc>
          <w:tcPr>
            <w:tcW w:w="2126" w:type="dxa"/>
            <w:tcBorders>
              <w:top w:val="nil"/>
              <w:left w:val="nil"/>
              <w:bottom w:val="single" w:sz="8" w:space="0" w:color="auto"/>
              <w:right w:val="single" w:sz="8" w:space="0" w:color="auto"/>
            </w:tcBorders>
            <w:shd w:val="clear" w:color="auto" w:fill="auto"/>
            <w:noWrap/>
            <w:vAlign w:val="center"/>
            <w:hideMark/>
          </w:tcPr>
          <w:p w14:paraId="4648A899"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301.187,14</w:t>
            </w:r>
          </w:p>
        </w:tc>
      </w:tr>
      <w:tr w:rsidR="00F2340D" w:rsidRPr="00DD1154" w14:paraId="161FEC23" w14:textId="77777777" w:rsidTr="00F2340D">
        <w:trPr>
          <w:trHeight w:val="330"/>
        </w:trPr>
        <w:tc>
          <w:tcPr>
            <w:tcW w:w="4111" w:type="dxa"/>
            <w:vMerge/>
            <w:tcBorders>
              <w:top w:val="nil"/>
              <w:left w:val="single" w:sz="8" w:space="0" w:color="auto"/>
              <w:bottom w:val="single" w:sz="8" w:space="0" w:color="000000"/>
              <w:right w:val="single" w:sz="8" w:space="0" w:color="auto"/>
            </w:tcBorders>
            <w:vAlign w:val="center"/>
            <w:hideMark/>
          </w:tcPr>
          <w:p w14:paraId="716117EA" w14:textId="77777777" w:rsidR="00F2340D" w:rsidRPr="00DD1154" w:rsidRDefault="00F2340D" w:rsidP="00F2340D">
            <w:pPr>
              <w:spacing w:after="0" w:line="240" w:lineRule="auto"/>
              <w:jc w:val="left"/>
              <w:rPr>
                <w:rFonts w:eastAsia="Times New Roman"/>
                <w:color w:val="000000"/>
                <w:lang w:eastAsia="hr-HR"/>
              </w:rPr>
            </w:pPr>
          </w:p>
        </w:tc>
        <w:tc>
          <w:tcPr>
            <w:tcW w:w="1349" w:type="dxa"/>
            <w:tcBorders>
              <w:top w:val="nil"/>
              <w:left w:val="nil"/>
              <w:bottom w:val="single" w:sz="8" w:space="0" w:color="auto"/>
              <w:right w:val="single" w:sz="8" w:space="0" w:color="auto"/>
            </w:tcBorders>
            <w:shd w:val="clear" w:color="auto" w:fill="auto"/>
            <w:noWrap/>
            <w:vAlign w:val="center"/>
            <w:hideMark/>
          </w:tcPr>
          <w:p w14:paraId="34DF5223"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NES/OT</w:t>
            </w:r>
          </w:p>
        </w:tc>
        <w:tc>
          <w:tcPr>
            <w:tcW w:w="1770" w:type="dxa"/>
            <w:tcBorders>
              <w:top w:val="nil"/>
              <w:left w:val="nil"/>
              <w:bottom w:val="single" w:sz="8" w:space="0" w:color="auto"/>
              <w:right w:val="single" w:sz="8" w:space="0" w:color="auto"/>
            </w:tcBorders>
            <w:shd w:val="clear" w:color="auto" w:fill="auto"/>
            <w:noWrap/>
            <w:vAlign w:val="center"/>
            <w:hideMark/>
          </w:tcPr>
          <w:p w14:paraId="765ED25E"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6.828.837,58</w:t>
            </w:r>
          </w:p>
        </w:tc>
        <w:tc>
          <w:tcPr>
            <w:tcW w:w="2126" w:type="dxa"/>
            <w:tcBorders>
              <w:top w:val="nil"/>
              <w:left w:val="nil"/>
              <w:bottom w:val="single" w:sz="8" w:space="0" w:color="auto"/>
              <w:right w:val="single" w:sz="8" w:space="0" w:color="auto"/>
            </w:tcBorders>
            <w:shd w:val="clear" w:color="auto" w:fill="auto"/>
            <w:noWrap/>
            <w:vAlign w:val="center"/>
            <w:hideMark/>
          </w:tcPr>
          <w:p w14:paraId="2EB94F32"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3.329.279,58</w:t>
            </w:r>
          </w:p>
        </w:tc>
      </w:tr>
      <w:tr w:rsidR="00F2340D" w:rsidRPr="00DD1154" w14:paraId="1835337B" w14:textId="77777777" w:rsidTr="00F2340D">
        <w:trPr>
          <w:trHeight w:val="330"/>
        </w:trPr>
        <w:tc>
          <w:tcPr>
            <w:tcW w:w="411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B2AC51"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lastRenderedPageBreak/>
              <w:t>Zaštita i očuvanje biološke i krajobrazne raznolikosti (K2014)</w:t>
            </w:r>
          </w:p>
        </w:tc>
        <w:tc>
          <w:tcPr>
            <w:tcW w:w="1349" w:type="dxa"/>
            <w:tcBorders>
              <w:top w:val="nil"/>
              <w:left w:val="nil"/>
              <w:bottom w:val="single" w:sz="8" w:space="0" w:color="auto"/>
              <w:right w:val="single" w:sz="8" w:space="0" w:color="auto"/>
            </w:tcBorders>
            <w:shd w:val="clear" w:color="auto" w:fill="auto"/>
            <w:noWrap/>
            <w:vAlign w:val="center"/>
            <w:hideMark/>
          </w:tcPr>
          <w:p w14:paraId="1E8982B5"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ESIF</w:t>
            </w:r>
          </w:p>
        </w:tc>
        <w:tc>
          <w:tcPr>
            <w:tcW w:w="1770" w:type="dxa"/>
            <w:tcBorders>
              <w:top w:val="nil"/>
              <w:left w:val="nil"/>
              <w:bottom w:val="single" w:sz="8" w:space="0" w:color="auto"/>
              <w:right w:val="single" w:sz="8" w:space="0" w:color="auto"/>
            </w:tcBorders>
            <w:shd w:val="clear" w:color="auto" w:fill="auto"/>
            <w:noWrap/>
            <w:vAlign w:val="center"/>
            <w:hideMark/>
          </w:tcPr>
          <w:p w14:paraId="1C682715"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5.584.603,27</w:t>
            </w:r>
          </w:p>
        </w:tc>
        <w:tc>
          <w:tcPr>
            <w:tcW w:w="2126" w:type="dxa"/>
            <w:tcBorders>
              <w:top w:val="nil"/>
              <w:left w:val="nil"/>
              <w:bottom w:val="single" w:sz="8" w:space="0" w:color="auto"/>
              <w:right w:val="single" w:sz="8" w:space="0" w:color="auto"/>
            </w:tcBorders>
            <w:shd w:val="clear" w:color="auto" w:fill="auto"/>
            <w:noWrap/>
            <w:vAlign w:val="center"/>
            <w:hideMark/>
          </w:tcPr>
          <w:p w14:paraId="62B0157C"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16.971.056,40</w:t>
            </w:r>
          </w:p>
        </w:tc>
      </w:tr>
      <w:tr w:rsidR="00F2340D" w:rsidRPr="00DD1154" w14:paraId="032E82B8" w14:textId="77777777" w:rsidTr="00F2340D">
        <w:trPr>
          <w:trHeight w:val="330"/>
        </w:trPr>
        <w:tc>
          <w:tcPr>
            <w:tcW w:w="4111" w:type="dxa"/>
            <w:vMerge/>
            <w:tcBorders>
              <w:top w:val="nil"/>
              <w:left w:val="single" w:sz="8" w:space="0" w:color="auto"/>
              <w:bottom w:val="single" w:sz="8" w:space="0" w:color="000000"/>
              <w:right w:val="single" w:sz="8" w:space="0" w:color="auto"/>
            </w:tcBorders>
            <w:vAlign w:val="center"/>
            <w:hideMark/>
          </w:tcPr>
          <w:p w14:paraId="4C04ABB5" w14:textId="77777777" w:rsidR="00F2340D" w:rsidRPr="00DD1154" w:rsidRDefault="00F2340D" w:rsidP="00F2340D">
            <w:pPr>
              <w:spacing w:after="0" w:line="240" w:lineRule="auto"/>
              <w:jc w:val="left"/>
              <w:rPr>
                <w:rFonts w:eastAsia="Times New Roman"/>
                <w:color w:val="000000"/>
                <w:lang w:eastAsia="hr-HR"/>
              </w:rPr>
            </w:pPr>
          </w:p>
        </w:tc>
        <w:tc>
          <w:tcPr>
            <w:tcW w:w="1349" w:type="dxa"/>
            <w:tcBorders>
              <w:top w:val="nil"/>
              <w:left w:val="nil"/>
              <w:bottom w:val="single" w:sz="8" w:space="0" w:color="auto"/>
              <w:right w:val="single" w:sz="8" w:space="0" w:color="auto"/>
            </w:tcBorders>
            <w:shd w:val="clear" w:color="auto" w:fill="auto"/>
            <w:noWrap/>
            <w:vAlign w:val="center"/>
            <w:hideMark/>
          </w:tcPr>
          <w:p w14:paraId="6A3C172B"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IR</w:t>
            </w:r>
          </w:p>
        </w:tc>
        <w:tc>
          <w:tcPr>
            <w:tcW w:w="1770" w:type="dxa"/>
            <w:tcBorders>
              <w:top w:val="nil"/>
              <w:left w:val="nil"/>
              <w:bottom w:val="single" w:sz="8" w:space="0" w:color="auto"/>
              <w:right w:val="single" w:sz="8" w:space="0" w:color="auto"/>
            </w:tcBorders>
            <w:shd w:val="clear" w:color="auto" w:fill="auto"/>
            <w:noWrap/>
            <w:vAlign w:val="center"/>
            <w:hideMark/>
          </w:tcPr>
          <w:p w14:paraId="1E51B35A"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180.215,49</w:t>
            </w:r>
          </w:p>
        </w:tc>
        <w:tc>
          <w:tcPr>
            <w:tcW w:w="2126" w:type="dxa"/>
            <w:tcBorders>
              <w:top w:val="nil"/>
              <w:left w:val="nil"/>
              <w:bottom w:val="single" w:sz="8" w:space="0" w:color="auto"/>
              <w:right w:val="single" w:sz="8" w:space="0" w:color="auto"/>
            </w:tcBorders>
            <w:shd w:val="clear" w:color="auto" w:fill="auto"/>
            <w:noWrap/>
            <w:vAlign w:val="center"/>
            <w:hideMark/>
          </w:tcPr>
          <w:p w14:paraId="3F5A384C"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303.416,68</w:t>
            </w:r>
          </w:p>
        </w:tc>
      </w:tr>
      <w:tr w:rsidR="00F2340D" w:rsidRPr="00DD1154" w14:paraId="56FA6A4B"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2A598EC8"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Ostali projekti i programi zaštite okoliša (K2017)</w:t>
            </w:r>
          </w:p>
        </w:tc>
        <w:tc>
          <w:tcPr>
            <w:tcW w:w="1349" w:type="dxa"/>
            <w:tcBorders>
              <w:top w:val="nil"/>
              <w:left w:val="nil"/>
              <w:bottom w:val="single" w:sz="8" w:space="0" w:color="auto"/>
              <w:right w:val="single" w:sz="8" w:space="0" w:color="auto"/>
            </w:tcBorders>
            <w:shd w:val="clear" w:color="auto" w:fill="auto"/>
            <w:noWrap/>
            <w:vAlign w:val="center"/>
            <w:hideMark/>
          </w:tcPr>
          <w:p w14:paraId="48C76281"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NES/OT</w:t>
            </w:r>
          </w:p>
        </w:tc>
        <w:tc>
          <w:tcPr>
            <w:tcW w:w="1770" w:type="dxa"/>
            <w:tcBorders>
              <w:top w:val="nil"/>
              <w:left w:val="nil"/>
              <w:bottom w:val="single" w:sz="8" w:space="0" w:color="auto"/>
              <w:right w:val="single" w:sz="8" w:space="0" w:color="auto"/>
            </w:tcBorders>
            <w:shd w:val="clear" w:color="auto" w:fill="auto"/>
            <w:noWrap/>
            <w:vAlign w:val="center"/>
            <w:hideMark/>
          </w:tcPr>
          <w:p w14:paraId="241AC329"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634.666,20</w:t>
            </w:r>
          </w:p>
        </w:tc>
        <w:tc>
          <w:tcPr>
            <w:tcW w:w="2126" w:type="dxa"/>
            <w:tcBorders>
              <w:top w:val="nil"/>
              <w:left w:val="nil"/>
              <w:bottom w:val="single" w:sz="8" w:space="0" w:color="auto"/>
              <w:right w:val="single" w:sz="8" w:space="0" w:color="auto"/>
            </w:tcBorders>
            <w:shd w:val="clear" w:color="auto" w:fill="auto"/>
            <w:noWrap/>
            <w:vAlign w:val="center"/>
            <w:hideMark/>
          </w:tcPr>
          <w:p w14:paraId="31BDBCA2"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822.639,43</w:t>
            </w:r>
          </w:p>
        </w:tc>
      </w:tr>
      <w:tr w:rsidR="00F2340D" w:rsidRPr="00DD1154" w14:paraId="0F8A33DD" w14:textId="77777777" w:rsidTr="00F2340D">
        <w:trPr>
          <w:trHeight w:val="64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5FCC981C"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Gospodarenje otpadom – Izgradnja županijskog centra za gospodarenje otpadom Kaštijun (K2025)</w:t>
            </w:r>
          </w:p>
        </w:tc>
        <w:tc>
          <w:tcPr>
            <w:tcW w:w="1349" w:type="dxa"/>
            <w:tcBorders>
              <w:top w:val="nil"/>
              <w:left w:val="nil"/>
              <w:bottom w:val="single" w:sz="8" w:space="0" w:color="auto"/>
              <w:right w:val="single" w:sz="8" w:space="0" w:color="auto"/>
            </w:tcBorders>
            <w:shd w:val="clear" w:color="auto" w:fill="auto"/>
            <w:noWrap/>
            <w:vAlign w:val="center"/>
            <w:hideMark/>
          </w:tcPr>
          <w:p w14:paraId="46F45458"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CGO</w:t>
            </w:r>
          </w:p>
        </w:tc>
        <w:tc>
          <w:tcPr>
            <w:tcW w:w="1770" w:type="dxa"/>
            <w:tcBorders>
              <w:top w:val="nil"/>
              <w:left w:val="nil"/>
              <w:bottom w:val="single" w:sz="8" w:space="0" w:color="auto"/>
              <w:right w:val="single" w:sz="8" w:space="0" w:color="auto"/>
            </w:tcBorders>
            <w:shd w:val="clear" w:color="auto" w:fill="auto"/>
            <w:noWrap/>
            <w:vAlign w:val="center"/>
            <w:hideMark/>
          </w:tcPr>
          <w:p w14:paraId="26549C92"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372.650,00</w:t>
            </w:r>
          </w:p>
        </w:tc>
        <w:tc>
          <w:tcPr>
            <w:tcW w:w="2126" w:type="dxa"/>
            <w:tcBorders>
              <w:top w:val="nil"/>
              <w:left w:val="nil"/>
              <w:bottom w:val="single" w:sz="8" w:space="0" w:color="auto"/>
              <w:right w:val="single" w:sz="8" w:space="0" w:color="auto"/>
            </w:tcBorders>
            <w:shd w:val="clear" w:color="auto" w:fill="auto"/>
            <w:noWrap/>
            <w:vAlign w:val="center"/>
            <w:hideMark/>
          </w:tcPr>
          <w:p w14:paraId="17075666"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6.590.424,73</w:t>
            </w:r>
          </w:p>
        </w:tc>
      </w:tr>
      <w:tr w:rsidR="00F2340D" w:rsidRPr="00DD1154" w14:paraId="6832C23C"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43F47097"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Sanacija odlagališta komunalnog otpada sufinancirana iz EU (K2032)</w:t>
            </w:r>
          </w:p>
        </w:tc>
        <w:tc>
          <w:tcPr>
            <w:tcW w:w="1349" w:type="dxa"/>
            <w:tcBorders>
              <w:top w:val="nil"/>
              <w:left w:val="nil"/>
              <w:bottom w:val="single" w:sz="8" w:space="0" w:color="auto"/>
              <w:right w:val="single" w:sz="8" w:space="0" w:color="auto"/>
            </w:tcBorders>
            <w:shd w:val="clear" w:color="auto" w:fill="auto"/>
            <w:noWrap/>
            <w:vAlign w:val="center"/>
            <w:hideMark/>
          </w:tcPr>
          <w:p w14:paraId="13901964"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NES/OT</w:t>
            </w:r>
          </w:p>
        </w:tc>
        <w:tc>
          <w:tcPr>
            <w:tcW w:w="1770" w:type="dxa"/>
            <w:tcBorders>
              <w:top w:val="nil"/>
              <w:left w:val="nil"/>
              <w:bottom w:val="single" w:sz="8" w:space="0" w:color="auto"/>
              <w:right w:val="single" w:sz="8" w:space="0" w:color="auto"/>
            </w:tcBorders>
            <w:shd w:val="clear" w:color="auto" w:fill="auto"/>
            <w:noWrap/>
            <w:vAlign w:val="center"/>
            <w:hideMark/>
          </w:tcPr>
          <w:p w14:paraId="1A2ABE36"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2.198.657,37</w:t>
            </w:r>
          </w:p>
        </w:tc>
        <w:tc>
          <w:tcPr>
            <w:tcW w:w="2126" w:type="dxa"/>
            <w:tcBorders>
              <w:top w:val="nil"/>
              <w:left w:val="nil"/>
              <w:bottom w:val="single" w:sz="8" w:space="0" w:color="auto"/>
              <w:right w:val="single" w:sz="8" w:space="0" w:color="auto"/>
            </w:tcBorders>
            <w:shd w:val="clear" w:color="auto" w:fill="auto"/>
            <w:noWrap/>
            <w:vAlign w:val="center"/>
            <w:hideMark/>
          </w:tcPr>
          <w:p w14:paraId="74CFEFE3"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8.029.159,21</w:t>
            </w:r>
          </w:p>
        </w:tc>
      </w:tr>
      <w:tr w:rsidR="00F2340D" w:rsidRPr="00DD1154" w14:paraId="506B4A71"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7E5271DA"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Modernizacija državne mreže sufinancirana iz EU (K2052)</w:t>
            </w:r>
          </w:p>
        </w:tc>
        <w:tc>
          <w:tcPr>
            <w:tcW w:w="1349" w:type="dxa"/>
            <w:tcBorders>
              <w:top w:val="nil"/>
              <w:left w:val="nil"/>
              <w:bottom w:val="single" w:sz="8" w:space="0" w:color="auto"/>
              <w:right w:val="single" w:sz="8" w:space="0" w:color="auto"/>
            </w:tcBorders>
            <w:shd w:val="clear" w:color="auto" w:fill="auto"/>
            <w:noWrap/>
            <w:vAlign w:val="center"/>
            <w:hideMark/>
          </w:tcPr>
          <w:p w14:paraId="3BE6B447"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ESIF</w:t>
            </w:r>
          </w:p>
        </w:tc>
        <w:tc>
          <w:tcPr>
            <w:tcW w:w="1770" w:type="dxa"/>
            <w:tcBorders>
              <w:top w:val="nil"/>
              <w:left w:val="nil"/>
              <w:bottom w:val="single" w:sz="8" w:space="0" w:color="auto"/>
              <w:right w:val="single" w:sz="8" w:space="0" w:color="auto"/>
            </w:tcBorders>
            <w:shd w:val="clear" w:color="auto" w:fill="auto"/>
            <w:noWrap/>
            <w:vAlign w:val="center"/>
            <w:hideMark/>
          </w:tcPr>
          <w:p w14:paraId="1C9ED9D8"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3.519.859,51</w:t>
            </w:r>
          </w:p>
        </w:tc>
        <w:tc>
          <w:tcPr>
            <w:tcW w:w="2126" w:type="dxa"/>
            <w:tcBorders>
              <w:top w:val="nil"/>
              <w:left w:val="nil"/>
              <w:bottom w:val="single" w:sz="8" w:space="0" w:color="auto"/>
              <w:right w:val="single" w:sz="8" w:space="0" w:color="auto"/>
            </w:tcBorders>
            <w:shd w:val="clear" w:color="auto" w:fill="auto"/>
            <w:noWrap/>
            <w:vAlign w:val="center"/>
            <w:hideMark/>
          </w:tcPr>
          <w:p w14:paraId="1517E2FA"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4.057.659,74</w:t>
            </w:r>
          </w:p>
        </w:tc>
      </w:tr>
      <w:tr w:rsidR="00F2340D" w:rsidRPr="00DD1154" w14:paraId="7F412D6E"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3F139EAD"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Potpora prilagodbi klimatskim promjenama (K2053)</w:t>
            </w:r>
          </w:p>
        </w:tc>
        <w:tc>
          <w:tcPr>
            <w:tcW w:w="1349" w:type="dxa"/>
            <w:tcBorders>
              <w:top w:val="nil"/>
              <w:left w:val="nil"/>
              <w:bottom w:val="single" w:sz="8" w:space="0" w:color="auto"/>
              <w:right w:val="single" w:sz="8" w:space="0" w:color="auto"/>
            </w:tcBorders>
            <w:shd w:val="clear" w:color="auto" w:fill="auto"/>
            <w:noWrap/>
            <w:vAlign w:val="center"/>
            <w:hideMark/>
          </w:tcPr>
          <w:p w14:paraId="6EBB3394"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ESIF</w:t>
            </w:r>
          </w:p>
        </w:tc>
        <w:tc>
          <w:tcPr>
            <w:tcW w:w="1770" w:type="dxa"/>
            <w:tcBorders>
              <w:top w:val="nil"/>
              <w:left w:val="nil"/>
              <w:bottom w:val="single" w:sz="8" w:space="0" w:color="auto"/>
              <w:right w:val="single" w:sz="8" w:space="0" w:color="auto"/>
            </w:tcBorders>
            <w:shd w:val="clear" w:color="auto" w:fill="auto"/>
            <w:noWrap/>
            <w:vAlign w:val="center"/>
            <w:hideMark/>
          </w:tcPr>
          <w:p w14:paraId="1EB6A1B7"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1.047.928,31</w:t>
            </w:r>
          </w:p>
        </w:tc>
        <w:tc>
          <w:tcPr>
            <w:tcW w:w="2126" w:type="dxa"/>
            <w:tcBorders>
              <w:top w:val="nil"/>
              <w:left w:val="nil"/>
              <w:bottom w:val="single" w:sz="8" w:space="0" w:color="auto"/>
              <w:right w:val="single" w:sz="8" w:space="0" w:color="auto"/>
            </w:tcBorders>
            <w:shd w:val="clear" w:color="auto" w:fill="auto"/>
            <w:noWrap/>
            <w:vAlign w:val="center"/>
            <w:hideMark/>
          </w:tcPr>
          <w:p w14:paraId="5F66A127"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1.649.888,76</w:t>
            </w:r>
          </w:p>
        </w:tc>
      </w:tr>
      <w:tr w:rsidR="00F2340D" w:rsidRPr="00DD1154" w14:paraId="16F41D32" w14:textId="77777777" w:rsidTr="00F2340D">
        <w:trPr>
          <w:trHeight w:val="330"/>
        </w:trPr>
        <w:tc>
          <w:tcPr>
            <w:tcW w:w="4111" w:type="dxa"/>
            <w:tcBorders>
              <w:top w:val="nil"/>
              <w:left w:val="single" w:sz="8" w:space="0" w:color="auto"/>
              <w:bottom w:val="single" w:sz="8" w:space="0" w:color="auto"/>
              <w:right w:val="single" w:sz="8" w:space="0" w:color="auto"/>
            </w:tcBorders>
            <w:shd w:val="clear" w:color="000000" w:fill="9BC2E6"/>
            <w:noWrap/>
            <w:vAlign w:val="center"/>
            <w:hideMark/>
          </w:tcPr>
          <w:p w14:paraId="0278D41E" w14:textId="77777777" w:rsidR="00F2340D" w:rsidRPr="00DD1154" w:rsidRDefault="00F2340D" w:rsidP="00F2340D">
            <w:pPr>
              <w:spacing w:after="0" w:line="240" w:lineRule="auto"/>
              <w:rPr>
                <w:rFonts w:eastAsia="Times New Roman"/>
                <w:b/>
                <w:bCs/>
                <w:color w:val="000000"/>
                <w:lang w:eastAsia="hr-HR"/>
              </w:rPr>
            </w:pPr>
            <w:r w:rsidRPr="00DD1154">
              <w:rPr>
                <w:rFonts w:eastAsia="Times New Roman"/>
                <w:b/>
                <w:bCs/>
                <w:color w:val="000000"/>
                <w:lang w:eastAsia="hr-HR"/>
              </w:rPr>
              <w:t>Programi i projekti energetske učinkovitosti</w:t>
            </w:r>
          </w:p>
        </w:tc>
        <w:tc>
          <w:tcPr>
            <w:tcW w:w="1349" w:type="dxa"/>
            <w:tcBorders>
              <w:top w:val="nil"/>
              <w:left w:val="nil"/>
              <w:bottom w:val="single" w:sz="8" w:space="0" w:color="auto"/>
              <w:right w:val="single" w:sz="8" w:space="0" w:color="auto"/>
            </w:tcBorders>
            <w:shd w:val="clear" w:color="000000" w:fill="9BC2E6"/>
            <w:noWrap/>
            <w:vAlign w:val="center"/>
            <w:hideMark/>
          </w:tcPr>
          <w:p w14:paraId="706E3FD0" w14:textId="77777777" w:rsidR="00F2340D" w:rsidRPr="00DD1154" w:rsidRDefault="00F2340D" w:rsidP="00F2340D">
            <w:pPr>
              <w:spacing w:after="0" w:line="240" w:lineRule="auto"/>
              <w:jc w:val="left"/>
              <w:rPr>
                <w:rFonts w:eastAsia="Times New Roman"/>
                <w:color w:val="000000"/>
                <w:lang w:eastAsia="hr-HR"/>
              </w:rPr>
            </w:pPr>
            <w:r w:rsidRPr="00DD1154">
              <w:rPr>
                <w:rFonts w:eastAsia="Times New Roman"/>
                <w:color w:val="000000"/>
                <w:lang w:eastAsia="hr-HR"/>
              </w:rPr>
              <w:t> </w:t>
            </w:r>
          </w:p>
        </w:tc>
        <w:tc>
          <w:tcPr>
            <w:tcW w:w="1770" w:type="dxa"/>
            <w:tcBorders>
              <w:top w:val="nil"/>
              <w:left w:val="nil"/>
              <w:bottom w:val="single" w:sz="8" w:space="0" w:color="auto"/>
              <w:right w:val="single" w:sz="8" w:space="0" w:color="auto"/>
            </w:tcBorders>
            <w:shd w:val="clear" w:color="000000" w:fill="9BC2E6"/>
            <w:noWrap/>
            <w:vAlign w:val="center"/>
            <w:hideMark/>
          </w:tcPr>
          <w:p w14:paraId="50930241" w14:textId="77777777" w:rsidR="00F2340D" w:rsidRPr="00DD1154" w:rsidRDefault="00F2340D" w:rsidP="00F2340D">
            <w:pPr>
              <w:spacing w:after="0" w:line="240" w:lineRule="auto"/>
              <w:jc w:val="right"/>
              <w:rPr>
                <w:rFonts w:eastAsia="Times New Roman"/>
                <w:b/>
                <w:bCs/>
                <w:color w:val="000000"/>
                <w:lang w:eastAsia="hr-HR"/>
              </w:rPr>
            </w:pPr>
            <w:r w:rsidRPr="00DD1154">
              <w:rPr>
                <w:rFonts w:eastAsia="Times New Roman"/>
                <w:b/>
                <w:bCs/>
                <w:color w:val="000000"/>
                <w:lang w:eastAsia="hr-HR"/>
              </w:rPr>
              <w:t>66.677.532,75</w:t>
            </w:r>
          </w:p>
        </w:tc>
        <w:tc>
          <w:tcPr>
            <w:tcW w:w="2126" w:type="dxa"/>
            <w:tcBorders>
              <w:top w:val="nil"/>
              <w:left w:val="nil"/>
              <w:bottom w:val="single" w:sz="8" w:space="0" w:color="auto"/>
              <w:right w:val="single" w:sz="8" w:space="0" w:color="auto"/>
            </w:tcBorders>
            <w:shd w:val="clear" w:color="000000" w:fill="9BC2E6"/>
            <w:noWrap/>
            <w:vAlign w:val="center"/>
            <w:hideMark/>
          </w:tcPr>
          <w:p w14:paraId="32CA538D" w14:textId="77777777" w:rsidR="00F2340D" w:rsidRPr="00DD1154" w:rsidRDefault="00F2340D" w:rsidP="00F2340D">
            <w:pPr>
              <w:spacing w:after="0" w:line="240" w:lineRule="auto"/>
              <w:jc w:val="right"/>
              <w:rPr>
                <w:rFonts w:eastAsia="Times New Roman"/>
                <w:b/>
                <w:bCs/>
                <w:color w:val="000000"/>
                <w:lang w:eastAsia="hr-HR"/>
              </w:rPr>
            </w:pPr>
            <w:r w:rsidRPr="00DD1154">
              <w:rPr>
                <w:rFonts w:eastAsia="Times New Roman"/>
                <w:b/>
                <w:bCs/>
                <w:color w:val="000000"/>
                <w:lang w:eastAsia="hr-HR"/>
              </w:rPr>
              <w:t>42.601.897,87</w:t>
            </w:r>
          </w:p>
        </w:tc>
      </w:tr>
      <w:tr w:rsidR="00F2340D" w:rsidRPr="00DD1154" w14:paraId="3B4C40E7"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2E10B9E4" w14:textId="77777777" w:rsidR="00F2340D" w:rsidRPr="00DD1154" w:rsidRDefault="00F2340D" w:rsidP="00F2340D">
            <w:pPr>
              <w:spacing w:after="0" w:line="240" w:lineRule="auto"/>
              <w:rPr>
                <w:rFonts w:eastAsia="Times New Roman"/>
                <w:color w:val="000000"/>
                <w:lang w:eastAsia="hr-HR"/>
              </w:rPr>
            </w:pPr>
            <w:r w:rsidRPr="00DD1154">
              <w:rPr>
                <w:rFonts w:eastAsia="Times New Roman"/>
                <w:bCs/>
                <w:color w:val="000000"/>
                <w:lang w:eastAsia="hr-HR"/>
              </w:rPr>
              <w:t>Poticanje korištenja obnovljivih izvora energije (K200027)</w:t>
            </w:r>
          </w:p>
        </w:tc>
        <w:tc>
          <w:tcPr>
            <w:tcW w:w="1349" w:type="dxa"/>
            <w:tcBorders>
              <w:top w:val="nil"/>
              <w:left w:val="nil"/>
              <w:bottom w:val="single" w:sz="8" w:space="0" w:color="auto"/>
              <w:right w:val="single" w:sz="8" w:space="0" w:color="auto"/>
            </w:tcBorders>
            <w:shd w:val="clear" w:color="auto" w:fill="auto"/>
            <w:noWrap/>
            <w:vAlign w:val="center"/>
            <w:hideMark/>
          </w:tcPr>
          <w:p w14:paraId="52B8388B"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OI</w:t>
            </w:r>
          </w:p>
        </w:tc>
        <w:tc>
          <w:tcPr>
            <w:tcW w:w="1770" w:type="dxa"/>
            <w:tcBorders>
              <w:top w:val="nil"/>
              <w:left w:val="nil"/>
              <w:bottom w:val="single" w:sz="8" w:space="0" w:color="auto"/>
              <w:right w:val="single" w:sz="8" w:space="0" w:color="auto"/>
            </w:tcBorders>
            <w:shd w:val="clear" w:color="auto" w:fill="auto"/>
            <w:noWrap/>
            <w:vAlign w:val="center"/>
            <w:hideMark/>
          </w:tcPr>
          <w:p w14:paraId="005E08BD"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6.807.075,43</w:t>
            </w:r>
          </w:p>
        </w:tc>
        <w:tc>
          <w:tcPr>
            <w:tcW w:w="2126" w:type="dxa"/>
            <w:tcBorders>
              <w:top w:val="nil"/>
              <w:left w:val="nil"/>
              <w:bottom w:val="single" w:sz="8" w:space="0" w:color="auto"/>
              <w:right w:val="single" w:sz="8" w:space="0" w:color="auto"/>
            </w:tcBorders>
            <w:shd w:val="clear" w:color="auto" w:fill="auto"/>
            <w:noWrap/>
            <w:vAlign w:val="center"/>
            <w:hideMark/>
          </w:tcPr>
          <w:p w14:paraId="3281DEC7"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26.548.658,77</w:t>
            </w:r>
          </w:p>
        </w:tc>
      </w:tr>
      <w:tr w:rsidR="00F2340D" w:rsidRPr="00DD1154" w14:paraId="1F78CABD"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7762A027"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Poticanje energetske učinkovitosti u prometu (K200030)</w:t>
            </w:r>
          </w:p>
        </w:tc>
        <w:tc>
          <w:tcPr>
            <w:tcW w:w="1349" w:type="dxa"/>
            <w:tcBorders>
              <w:top w:val="nil"/>
              <w:left w:val="nil"/>
              <w:bottom w:val="single" w:sz="8" w:space="0" w:color="auto"/>
              <w:right w:val="single" w:sz="8" w:space="0" w:color="auto"/>
            </w:tcBorders>
            <w:shd w:val="clear" w:color="auto" w:fill="auto"/>
            <w:noWrap/>
            <w:vAlign w:val="center"/>
            <w:hideMark/>
          </w:tcPr>
          <w:p w14:paraId="1DA6E7E3"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PR</w:t>
            </w:r>
          </w:p>
        </w:tc>
        <w:tc>
          <w:tcPr>
            <w:tcW w:w="1770" w:type="dxa"/>
            <w:tcBorders>
              <w:top w:val="nil"/>
              <w:left w:val="nil"/>
              <w:bottom w:val="single" w:sz="8" w:space="0" w:color="auto"/>
              <w:right w:val="single" w:sz="8" w:space="0" w:color="auto"/>
            </w:tcBorders>
            <w:shd w:val="clear" w:color="auto" w:fill="auto"/>
            <w:noWrap/>
            <w:vAlign w:val="center"/>
            <w:hideMark/>
          </w:tcPr>
          <w:p w14:paraId="271AC2B6"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82.139,78</w:t>
            </w:r>
          </w:p>
        </w:tc>
        <w:tc>
          <w:tcPr>
            <w:tcW w:w="2126" w:type="dxa"/>
            <w:tcBorders>
              <w:top w:val="nil"/>
              <w:left w:val="nil"/>
              <w:bottom w:val="single" w:sz="8" w:space="0" w:color="auto"/>
              <w:right w:val="single" w:sz="8" w:space="0" w:color="auto"/>
            </w:tcBorders>
            <w:shd w:val="clear" w:color="auto" w:fill="auto"/>
            <w:noWrap/>
            <w:vAlign w:val="center"/>
            <w:hideMark/>
          </w:tcPr>
          <w:p w14:paraId="48AC9263" w14:textId="0316F479" w:rsidR="00F2340D" w:rsidRPr="00DD1154" w:rsidRDefault="00F2340D" w:rsidP="00CF3958">
            <w:pPr>
              <w:spacing w:after="0" w:line="240" w:lineRule="auto"/>
              <w:jc w:val="right"/>
              <w:rPr>
                <w:rFonts w:eastAsia="Times New Roman"/>
                <w:color w:val="000000"/>
                <w:lang w:eastAsia="hr-HR"/>
              </w:rPr>
            </w:pPr>
            <w:r w:rsidRPr="00DD1154">
              <w:rPr>
                <w:rFonts w:eastAsia="Times New Roman"/>
                <w:color w:val="000000"/>
                <w:lang w:eastAsia="hr-HR"/>
              </w:rPr>
              <w:t>125.737,</w:t>
            </w:r>
            <w:r w:rsidR="00745D6A">
              <w:rPr>
                <w:rFonts w:eastAsia="Times New Roman"/>
                <w:color w:val="000000"/>
                <w:lang w:eastAsia="hr-HR"/>
              </w:rPr>
              <w:t>48</w:t>
            </w:r>
          </w:p>
        </w:tc>
      </w:tr>
      <w:tr w:rsidR="00F2340D" w:rsidRPr="00DD1154" w14:paraId="1924BB9D"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78068847"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Program obnove javnih zgrada – provedba (K200033)</w:t>
            </w:r>
          </w:p>
        </w:tc>
        <w:tc>
          <w:tcPr>
            <w:tcW w:w="1349" w:type="dxa"/>
            <w:tcBorders>
              <w:top w:val="nil"/>
              <w:left w:val="nil"/>
              <w:bottom w:val="single" w:sz="8" w:space="0" w:color="auto"/>
              <w:right w:val="single" w:sz="8" w:space="0" w:color="auto"/>
            </w:tcBorders>
            <w:shd w:val="clear" w:color="auto" w:fill="auto"/>
            <w:noWrap/>
            <w:vAlign w:val="center"/>
            <w:hideMark/>
          </w:tcPr>
          <w:p w14:paraId="2DA700E8"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ENU</w:t>
            </w:r>
          </w:p>
        </w:tc>
        <w:tc>
          <w:tcPr>
            <w:tcW w:w="1770" w:type="dxa"/>
            <w:tcBorders>
              <w:top w:val="nil"/>
              <w:left w:val="nil"/>
              <w:bottom w:val="single" w:sz="8" w:space="0" w:color="auto"/>
              <w:right w:val="single" w:sz="8" w:space="0" w:color="auto"/>
            </w:tcBorders>
            <w:shd w:val="clear" w:color="auto" w:fill="auto"/>
            <w:noWrap/>
            <w:vAlign w:val="center"/>
            <w:hideMark/>
          </w:tcPr>
          <w:p w14:paraId="7ADA9A85"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45.833.621,91</w:t>
            </w:r>
          </w:p>
        </w:tc>
        <w:tc>
          <w:tcPr>
            <w:tcW w:w="2126" w:type="dxa"/>
            <w:tcBorders>
              <w:top w:val="nil"/>
              <w:left w:val="nil"/>
              <w:bottom w:val="single" w:sz="8" w:space="0" w:color="auto"/>
              <w:right w:val="single" w:sz="8" w:space="0" w:color="auto"/>
            </w:tcBorders>
            <w:shd w:val="clear" w:color="auto" w:fill="auto"/>
            <w:noWrap/>
            <w:vAlign w:val="center"/>
            <w:hideMark/>
          </w:tcPr>
          <w:p w14:paraId="2F66E324" w14:textId="77777777" w:rsidR="00F2340D" w:rsidRPr="00DD1154" w:rsidRDefault="00F2340D" w:rsidP="00F2340D">
            <w:pPr>
              <w:spacing w:after="0" w:line="240" w:lineRule="auto"/>
              <w:jc w:val="left"/>
              <w:rPr>
                <w:rFonts w:eastAsia="Times New Roman"/>
                <w:color w:val="000000"/>
                <w:lang w:eastAsia="hr-HR"/>
              </w:rPr>
            </w:pPr>
            <w:r w:rsidRPr="00DD1154">
              <w:rPr>
                <w:rFonts w:eastAsia="Times New Roman"/>
                <w:color w:val="000000"/>
                <w:lang w:eastAsia="hr-HR"/>
              </w:rPr>
              <w:t> </w:t>
            </w:r>
          </w:p>
        </w:tc>
      </w:tr>
      <w:tr w:rsidR="00F2340D" w:rsidRPr="00DD1154" w14:paraId="6906D087"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313E4037"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Program obnove obiteljskih kuća (K200035)</w:t>
            </w:r>
          </w:p>
        </w:tc>
        <w:tc>
          <w:tcPr>
            <w:tcW w:w="1349" w:type="dxa"/>
            <w:tcBorders>
              <w:top w:val="nil"/>
              <w:left w:val="nil"/>
              <w:bottom w:val="single" w:sz="8" w:space="0" w:color="auto"/>
              <w:right w:val="single" w:sz="8" w:space="0" w:color="auto"/>
            </w:tcBorders>
            <w:shd w:val="clear" w:color="auto" w:fill="auto"/>
            <w:noWrap/>
            <w:vAlign w:val="center"/>
            <w:hideMark/>
          </w:tcPr>
          <w:p w14:paraId="3C325114"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ENU</w:t>
            </w:r>
          </w:p>
        </w:tc>
        <w:tc>
          <w:tcPr>
            <w:tcW w:w="1770" w:type="dxa"/>
            <w:tcBorders>
              <w:top w:val="nil"/>
              <w:left w:val="nil"/>
              <w:bottom w:val="single" w:sz="8" w:space="0" w:color="auto"/>
              <w:right w:val="single" w:sz="8" w:space="0" w:color="auto"/>
            </w:tcBorders>
            <w:shd w:val="clear" w:color="auto" w:fill="auto"/>
            <w:noWrap/>
            <w:vAlign w:val="center"/>
            <w:hideMark/>
          </w:tcPr>
          <w:p w14:paraId="715D3099" w14:textId="77777777" w:rsidR="00F2340D" w:rsidRPr="00DD1154" w:rsidRDefault="00F2340D" w:rsidP="00F2340D">
            <w:pPr>
              <w:spacing w:after="0" w:line="240" w:lineRule="auto"/>
              <w:jc w:val="left"/>
              <w:rPr>
                <w:rFonts w:eastAsia="Times New Roman"/>
                <w:color w:val="000000"/>
                <w:lang w:eastAsia="hr-HR"/>
              </w:rPr>
            </w:pPr>
            <w:r w:rsidRPr="00DD1154">
              <w:rPr>
                <w:rFonts w:eastAsia="Times New Roman"/>
                <w:color w:val="000000"/>
                <w:lang w:eastAsia="hr-HR"/>
              </w:rPr>
              <w:t> </w:t>
            </w:r>
          </w:p>
        </w:tc>
        <w:tc>
          <w:tcPr>
            <w:tcW w:w="2126" w:type="dxa"/>
            <w:tcBorders>
              <w:top w:val="nil"/>
              <w:left w:val="nil"/>
              <w:bottom w:val="single" w:sz="8" w:space="0" w:color="auto"/>
              <w:right w:val="single" w:sz="8" w:space="0" w:color="auto"/>
            </w:tcBorders>
            <w:shd w:val="clear" w:color="auto" w:fill="auto"/>
            <w:noWrap/>
            <w:vAlign w:val="center"/>
            <w:hideMark/>
          </w:tcPr>
          <w:p w14:paraId="1F1E5099"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627.367,04</w:t>
            </w:r>
          </w:p>
        </w:tc>
      </w:tr>
      <w:tr w:rsidR="00F2340D" w:rsidRPr="00DD1154" w14:paraId="718CA898"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457AA7CE" w14:textId="77777777" w:rsidR="00F2340D" w:rsidRPr="00DD1154" w:rsidRDefault="00F2340D" w:rsidP="00F2340D">
            <w:pPr>
              <w:spacing w:after="0" w:line="240" w:lineRule="auto"/>
              <w:jc w:val="left"/>
              <w:rPr>
                <w:rFonts w:eastAsia="Times New Roman"/>
                <w:color w:val="000000"/>
                <w:lang w:eastAsia="hr-HR"/>
              </w:rPr>
            </w:pPr>
            <w:r w:rsidRPr="00DD1154">
              <w:rPr>
                <w:rFonts w:eastAsia="Times New Roman"/>
                <w:color w:val="000000"/>
                <w:lang w:eastAsia="hr-HR"/>
              </w:rPr>
              <w:t>Poticanje održive gradnje iz EU (K2054)</w:t>
            </w:r>
          </w:p>
        </w:tc>
        <w:tc>
          <w:tcPr>
            <w:tcW w:w="1349" w:type="dxa"/>
            <w:tcBorders>
              <w:top w:val="nil"/>
              <w:left w:val="nil"/>
              <w:bottom w:val="single" w:sz="8" w:space="0" w:color="auto"/>
              <w:right w:val="single" w:sz="8" w:space="0" w:color="auto"/>
            </w:tcBorders>
            <w:shd w:val="clear" w:color="auto" w:fill="auto"/>
            <w:noWrap/>
            <w:vAlign w:val="center"/>
            <w:hideMark/>
          </w:tcPr>
          <w:p w14:paraId="0D845EBC"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ENU</w:t>
            </w:r>
          </w:p>
        </w:tc>
        <w:tc>
          <w:tcPr>
            <w:tcW w:w="1770" w:type="dxa"/>
            <w:tcBorders>
              <w:top w:val="nil"/>
              <w:left w:val="nil"/>
              <w:bottom w:val="single" w:sz="8" w:space="0" w:color="auto"/>
              <w:right w:val="single" w:sz="8" w:space="0" w:color="auto"/>
            </w:tcBorders>
            <w:shd w:val="clear" w:color="auto" w:fill="auto"/>
            <w:noWrap/>
            <w:vAlign w:val="center"/>
            <w:hideMark/>
          </w:tcPr>
          <w:p w14:paraId="2A32FE0F"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11.767.960,22</w:t>
            </w:r>
          </w:p>
        </w:tc>
        <w:tc>
          <w:tcPr>
            <w:tcW w:w="2126" w:type="dxa"/>
            <w:tcBorders>
              <w:top w:val="nil"/>
              <w:left w:val="nil"/>
              <w:bottom w:val="single" w:sz="8" w:space="0" w:color="auto"/>
              <w:right w:val="single" w:sz="8" w:space="0" w:color="auto"/>
            </w:tcBorders>
            <w:shd w:val="clear" w:color="auto" w:fill="auto"/>
            <w:noWrap/>
            <w:vAlign w:val="center"/>
            <w:hideMark/>
          </w:tcPr>
          <w:p w14:paraId="01493BED" w14:textId="77777777" w:rsidR="00F2340D" w:rsidRPr="00DD1154" w:rsidRDefault="00F2340D" w:rsidP="00F2340D">
            <w:pPr>
              <w:spacing w:after="0" w:line="240" w:lineRule="auto"/>
              <w:jc w:val="left"/>
              <w:rPr>
                <w:rFonts w:eastAsia="Times New Roman"/>
                <w:color w:val="000000"/>
                <w:lang w:eastAsia="hr-HR"/>
              </w:rPr>
            </w:pPr>
            <w:r w:rsidRPr="00DD1154">
              <w:rPr>
                <w:rFonts w:eastAsia="Times New Roman"/>
                <w:color w:val="000000"/>
                <w:lang w:eastAsia="hr-HR"/>
              </w:rPr>
              <w:t> </w:t>
            </w:r>
          </w:p>
        </w:tc>
      </w:tr>
      <w:tr w:rsidR="00F2340D" w:rsidRPr="00DD1154" w14:paraId="73CDBD12" w14:textId="77777777" w:rsidTr="00F2340D">
        <w:trPr>
          <w:trHeight w:val="645"/>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3C2CC396"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Provedba aktivnosti energetske učinkovitosti na lokalnoj i regionalnoj razini RH (K200004)</w:t>
            </w:r>
          </w:p>
        </w:tc>
        <w:tc>
          <w:tcPr>
            <w:tcW w:w="1349" w:type="dxa"/>
            <w:tcBorders>
              <w:top w:val="nil"/>
              <w:left w:val="nil"/>
              <w:bottom w:val="single" w:sz="8" w:space="0" w:color="auto"/>
              <w:right w:val="single" w:sz="8" w:space="0" w:color="auto"/>
            </w:tcBorders>
            <w:shd w:val="clear" w:color="auto" w:fill="auto"/>
            <w:noWrap/>
            <w:vAlign w:val="center"/>
            <w:hideMark/>
          </w:tcPr>
          <w:p w14:paraId="1C5813F5"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ENU</w:t>
            </w:r>
          </w:p>
        </w:tc>
        <w:tc>
          <w:tcPr>
            <w:tcW w:w="1770" w:type="dxa"/>
            <w:tcBorders>
              <w:top w:val="nil"/>
              <w:left w:val="nil"/>
              <w:bottom w:val="single" w:sz="8" w:space="0" w:color="auto"/>
              <w:right w:val="single" w:sz="8" w:space="0" w:color="auto"/>
            </w:tcBorders>
            <w:shd w:val="clear" w:color="auto" w:fill="auto"/>
            <w:noWrap/>
            <w:vAlign w:val="center"/>
            <w:hideMark/>
          </w:tcPr>
          <w:p w14:paraId="7A0255E6" w14:textId="77777777" w:rsidR="00F2340D" w:rsidRPr="00DD1154" w:rsidRDefault="00F2340D" w:rsidP="00F2340D">
            <w:pPr>
              <w:spacing w:after="0" w:line="240" w:lineRule="auto"/>
              <w:jc w:val="left"/>
              <w:rPr>
                <w:rFonts w:eastAsia="Times New Roman"/>
                <w:color w:val="000000"/>
                <w:lang w:eastAsia="hr-HR"/>
              </w:rPr>
            </w:pPr>
            <w:r w:rsidRPr="00DD1154">
              <w:rPr>
                <w:rFonts w:eastAsia="Times New Roman"/>
                <w:color w:val="000000"/>
                <w:lang w:eastAsia="hr-HR"/>
              </w:rPr>
              <w:t> </w:t>
            </w:r>
          </w:p>
        </w:tc>
        <w:tc>
          <w:tcPr>
            <w:tcW w:w="2126" w:type="dxa"/>
            <w:tcBorders>
              <w:top w:val="nil"/>
              <w:left w:val="nil"/>
              <w:bottom w:val="single" w:sz="8" w:space="0" w:color="auto"/>
              <w:right w:val="single" w:sz="8" w:space="0" w:color="auto"/>
            </w:tcBorders>
            <w:shd w:val="clear" w:color="auto" w:fill="auto"/>
            <w:noWrap/>
            <w:vAlign w:val="center"/>
            <w:hideMark/>
          </w:tcPr>
          <w:p w14:paraId="46A645BA"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2.348.599,25</w:t>
            </w:r>
          </w:p>
        </w:tc>
      </w:tr>
      <w:tr w:rsidR="00F2340D" w:rsidRPr="00DD1154" w14:paraId="18C8EEDE"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36DB46D6"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Potpora provedbi klimatsko-energetske politike (A1005)</w:t>
            </w:r>
          </w:p>
        </w:tc>
        <w:tc>
          <w:tcPr>
            <w:tcW w:w="1349" w:type="dxa"/>
            <w:tcBorders>
              <w:top w:val="nil"/>
              <w:left w:val="nil"/>
              <w:bottom w:val="single" w:sz="8" w:space="0" w:color="auto"/>
              <w:right w:val="single" w:sz="8" w:space="0" w:color="auto"/>
            </w:tcBorders>
            <w:shd w:val="clear" w:color="auto" w:fill="auto"/>
            <w:noWrap/>
            <w:vAlign w:val="center"/>
            <w:hideMark/>
          </w:tcPr>
          <w:p w14:paraId="15395DC8"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IR</w:t>
            </w:r>
          </w:p>
        </w:tc>
        <w:tc>
          <w:tcPr>
            <w:tcW w:w="1770" w:type="dxa"/>
            <w:tcBorders>
              <w:top w:val="nil"/>
              <w:left w:val="nil"/>
              <w:bottom w:val="single" w:sz="8" w:space="0" w:color="auto"/>
              <w:right w:val="single" w:sz="8" w:space="0" w:color="auto"/>
            </w:tcBorders>
            <w:shd w:val="clear" w:color="auto" w:fill="auto"/>
            <w:noWrap/>
            <w:vAlign w:val="center"/>
            <w:hideMark/>
          </w:tcPr>
          <w:p w14:paraId="54CF738F"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2.186.735,41</w:t>
            </w:r>
          </w:p>
        </w:tc>
        <w:tc>
          <w:tcPr>
            <w:tcW w:w="2126" w:type="dxa"/>
            <w:tcBorders>
              <w:top w:val="nil"/>
              <w:left w:val="nil"/>
              <w:bottom w:val="single" w:sz="8" w:space="0" w:color="auto"/>
              <w:right w:val="single" w:sz="8" w:space="0" w:color="auto"/>
            </w:tcBorders>
            <w:shd w:val="clear" w:color="auto" w:fill="auto"/>
            <w:noWrap/>
            <w:vAlign w:val="center"/>
            <w:hideMark/>
          </w:tcPr>
          <w:p w14:paraId="35910DBD"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159.719,14</w:t>
            </w:r>
          </w:p>
        </w:tc>
      </w:tr>
      <w:tr w:rsidR="00F2340D" w:rsidRPr="00DD1154" w14:paraId="0B5DEB98"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6F808101"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Program nabave kondenzacijskih bojlera (K200038)</w:t>
            </w:r>
          </w:p>
        </w:tc>
        <w:tc>
          <w:tcPr>
            <w:tcW w:w="1349" w:type="dxa"/>
            <w:tcBorders>
              <w:top w:val="nil"/>
              <w:left w:val="nil"/>
              <w:bottom w:val="single" w:sz="8" w:space="0" w:color="auto"/>
              <w:right w:val="single" w:sz="8" w:space="0" w:color="auto"/>
            </w:tcBorders>
            <w:shd w:val="clear" w:color="auto" w:fill="auto"/>
            <w:noWrap/>
            <w:vAlign w:val="center"/>
            <w:hideMark/>
          </w:tcPr>
          <w:p w14:paraId="2FE1F2B5"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ENU</w:t>
            </w:r>
          </w:p>
        </w:tc>
        <w:tc>
          <w:tcPr>
            <w:tcW w:w="1770" w:type="dxa"/>
            <w:tcBorders>
              <w:top w:val="nil"/>
              <w:left w:val="nil"/>
              <w:bottom w:val="single" w:sz="8" w:space="0" w:color="auto"/>
              <w:right w:val="single" w:sz="8" w:space="0" w:color="auto"/>
            </w:tcBorders>
            <w:shd w:val="clear" w:color="auto" w:fill="auto"/>
            <w:noWrap/>
            <w:vAlign w:val="center"/>
            <w:hideMark/>
          </w:tcPr>
          <w:p w14:paraId="0A28E099" w14:textId="77777777" w:rsidR="00F2340D" w:rsidRPr="00DD1154" w:rsidRDefault="00F2340D" w:rsidP="00F2340D">
            <w:pPr>
              <w:spacing w:after="0" w:line="240" w:lineRule="auto"/>
              <w:jc w:val="left"/>
              <w:rPr>
                <w:rFonts w:eastAsia="Times New Roman"/>
                <w:color w:val="000000"/>
                <w:lang w:eastAsia="hr-HR"/>
              </w:rPr>
            </w:pPr>
            <w:r w:rsidRPr="00DD1154">
              <w:rPr>
                <w:rFonts w:eastAsia="Times New Roman"/>
                <w:color w:val="000000"/>
                <w:lang w:eastAsia="hr-HR"/>
              </w:rPr>
              <w:t> </w:t>
            </w:r>
          </w:p>
        </w:tc>
        <w:tc>
          <w:tcPr>
            <w:tcW w:w="2126" w:type="dxa"/>
            <w:tcBorders>
              <w:top w:val="nil"/>
              <w:left w:val="nil"/>
              <w:bottom w:val="single" w:sz="8" w:space="0" w:color="auto"/>
              <w:right w:val="single" w:sz="8" w:space="0" w:color="auto"/>
            </w:tcBorders>
            <w:shd w:val="clear" w:color="auto" w:fill="auto"/>
            <w:noWrap/>
            <w:vAlign w:val="center"/>
            <w:hideMark/>
          </w:tcPr>
          <w:p w14:paraId="5D3D1510"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12.791.816,19</w:t>
            </w:r>
          </w:p>
        </w:tc>
      </w:tr>
      <w:tr w:rsidR="00F2340D" w:rsidRPr="00DD1154" w14:paraId="3713BBF4" w14:textId="77777777" w:rsidTr="00F2340D">
        <w:trPr>
          <w:trHeight w:val="645"/>
        </w:trPr>
        <w:tc>
          <w:tcPr>
            <w:tcW w:w="4111" w:type="dxa"/>
            <w:tcBorders>
              <w:top w:val="nil"/>
              <w:left w:val="single" w:sz="8" w:space="0" w:color="auto"/>
              <w:bottom w:val="single" w:sz="8" w:space="0" w:color="auto"/>
              <w:right w:val="single" w:sz="8" w:space="0" w:color="auto"/>
            </w:tcBorders>
            <w:shd w:val="clear" w:color="000000" w:fill="9BC2E6"/>
            <w:noWrap/>
            <w:vAlign w:val="center"/>
            <w:hideMark/>
          </w:tcPr>
          <w:p w14:paraId="2D23E576"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Podmirenje obveze troška Programa energetske obnove obiteljskih kuća koja se vodi na aktivnosti Administrativno upravljanje i opremanje</w:t>
            </w:r>
          </w:p>
        </w:tc>
        <w:tc>
          <w:tcPr>
            <w:tcW w:w="1349" w:type="dxa"/>
            <w:tcBorders>
              <w:top w:val="nil"/>
              <w:left w:val="nil"/>
              <w:bottom w:val="single" w:sz="8" w:space="0" w:color="auto"/>
              <w:right w:val="single" w:sz="8" w:space="0" w:color="auto"/>
            </w:tcBorders>
            <w:shd w:val="clear" w:color="000000" w:fill="9BC2E6"/>
            <w:noWrap/>
            <w:vAlign w:val="center"/>
            <w:hideMark/>
          </w:tcPr>
          <w:p w14:paraId="55269F08" w14:textId="77777777" w:rsidR="00F2340D" w:rsidRPr="00DD1154" w:rsidRDefault="00F2340D" w:rsidP="00F2340D">
            <w:pPr>
              <w:spacing w:after="0" w:line="240" w:lineRule="auto"/>
              <w:rPr>
                <w:rFonts w:eastAsia="Times New Roman"/>
                <w:b/>
                <w:bCs/>
                <w:color w:val="000000"/>
                <w:lang w:eastAsia="hr-HR"/>
              </w:rPr>
            </w:pPr>
            <w:r w:rsidRPr="00DD1154">
              <w:rPr>
                <w:rFonts w:eastAsia="Times New Roman"/>
                <w:b/>
                <w:bCs/>
                <w:color w:val="000000"/>
                <w:lang w:eastAsia="hr-HR"/>
              </w:rPr>
              <w:t> </w:t>
            </w:r>
          </w:p>
        </w:tc>
        <w:tc>
          <w:tcPr>
            <w:tcW w:w="1770" w:type="dxa"/>
            <w:tcBorders>
              <w:top w:val="nil"/>
              <w:left w:val="nil"/>
              <w:bottom w:val="single" w:sz="8" w:space="0" w:color="auto"/>
              <w:right w:val="single" w:sz="8" w:space="0" w:color="auto"/>
            </w:tcBorders>
            <w:shd w:val="clear" w:color="000000" w:fill="9BC2E6"/>
            <w:noWrap/>
            <w:vAlign w:val="center"/>
            <w:hideMark/>
          </w:tcPr>
          <w:p w14:paraId="45AFD477" w14:textId="77777777" w:rsidR="00F2340D" w:rsidRPr="00DD1154" w:rsidRDefault="00F2340D" w:rsidP="00F2340D">
            <w:pPr>
              <w:spacing w:after="0" w:line="240" w:lineRule="auto"/>
              <w:rPr>
                <w:rFonts w:eastAsia="Times New Roman"/>
                <w:b/>
                <w:bCs/>
                <w:color w:val="000000"/>
                <w:lang w:eastAsia="hr-HR"/>
              </w:rPr>
            </w:pPr>
            <w:r w:rsidRPr="00DD1154">
              <w:rPr>
                <w:rFonts w:eastAsia="Times New Roman"/>
                <w:b/>
                <w:bCs/>
                <w:color w:val="000000"/>
                <w:lang w:eastAsia="hr-HR"/>
              </w:rPr>
              <w:t> </w:t>
            </w:r>
          </w:p>
        </w:tc>
        <w:tc>
          <w:tcPr>
            <w:tcW w:w="2126" w:type="dxa"/>
            <w:tcBorders>
              <w:top w:val="nil"/>
              <w:left w:val="nil"/>
              <w:bottom w:val="single" w:sz="8" w:space="0" w:color="auto"/>
              <w:right w:val="single" w:sz="8" w:space="0" w:color="auto"/>
            </w:tcBorders>
            <w:shd w:val="clear" w:color="000000" w:fill="9BC2E6"/>
            <w:noWrap/>
            <w:vAlign w:val="center"/>
            <w:hideMark/>
          </w:tcPr>
          <w:p w14:paraId="0576BBEA" w14:textId="77777777" w:rsidR="00F2340D" w:rsidRPr="00DD1154" w:rsidRDefault="00F2340D" w:rsidP="00F2340D">
            <w:pPr>
              <w:spacing w:after="0" w:line="240" w:lineRule="auto"/>
              <w:jc w:val="right"/>
              <w:rPr>
                <w:rFonts w:eastAsia="Times New Roman"/>
                <w:b/>
                <w:bCs/>
                <w:color w:val="000000"/>
                <w:lang w:eastAsia="hr-HR"/>
              </w:rPr>
            </w:pPr>
            <w:r w:rsidRPr="00DD1154">
              <w:rPr>
                <w:rFonts w:eastAsia="Times New Roman"/>
                <w:b/>
                <w:bCs/>
                <w:color w:val="000000"/>
                <w:lang w:eastAsia="hr-HR"/>
              </w:rPr>
              <w:t>226.500.000,00</w:t>
            </w:r>
          </w:p>
        </w:tc>
      </w:tr>
      <w:tr w:rsidR="00F2340D" w:rsidRPr="00DD1154" w14:paraId="41D3B73B" w14:textId="77777777" w:rsidTr="00F2340D">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14:paraId="0B1E3F1C"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Podmirenje obveze (A200001)</w:t>
            </w:r>
          </w:p>
        </w:tc>
        <w:tc>
          <w:tcPr>
            <w:tcW w:w="1349" w:type="dxa"/>
            <w:tcBorders>
              <w:top w:val="nil"/>
              <w:left w:val="nil"/>
              <w:bottom w:val="single" w:sz="8" w:space="0" w:color="auto"/>
              <w:right w:val="single" w:sz="8" w:space="0" w:color="auto"/>
            </w:tcBorders>
            <w:shd w:val="clear" w:color="auto" w:fill="auto"/>
            <w:noWrap/>
            <w:vAlign w:val="center"/>
            <w:hideMark/>
          </w:tcPr>
          <w:p w14:paraId="2267C2E1"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ENU</w:t>
            </w:r>
          </w:p>
        </w:tc>
        <w:tc>
          <w:tcPr>
            <w:tcW w:w="1770" w:type="dxa"/>
            <w:tcBorders>
              <w:top w:val="nil"/>
              <w:left w:val="nil"/>
              <w:bottom w:val="single" w:sz="8" w:space="0" w:color="auto"/>
              <w:right w:val="single" w:sz="8" w:space="0" w:color="auto"/>
            </w:tcBorders>
            <w:shd w:val="clear" w:color="auto" w:fill="auto"/>
            <w:noWrap/>
            <w:vAlign w:val="center"/>
            <w:hideMark/>
          </w:tcPr>
          <w:p w14:paraId="01AC03F0" w14:textId="77777777" w:rsidR="00F2340D" w:rsidRPr="00DD1154" w:rsidRDefault="00F2340D" w:rsidP="00F2340D">
            <w:pPr>
              <w:spacing w:after="0" w:line="240" w:lineRule="auto"/>
              <w:rPr>
                <w:rFonts w:eastAsia="Times New Roman"/>
                <w:color w:val="000000"/>
                <w:lang w:eastAsia="hr-HR"/>
              </w:rPr>
            </w:pPr>
            <w:r w:rsidRPr="00DD1154">
              <w:rPr>
                <w:rFonts w:eastAsia="Times New Roman"/>
                <w:color w:val="000000"/>
                <w:lang w:eastAsia="hr-HR"/>
              </w:rPr>
              <w:t> </w:t>
            </w:r>
          </w:p>
        </w:tc>
        <w:tc>
          <w:tcPr>
            <w:tcW w:w="2126" w:type="dxa"/>
            <w:tcBorders>
              <w:top w:val="nil"/>
              <w:left w:val="nil"/>
              <w:bottom w:val="single" w:sz="8" w:space="0" w:color="auto"/>
              <w:right w:val="single" w:sz="8" w:space="0" w:color="auto"/>
            </w:tcBorders>
            <w:shd w:val="clear" w:color="auto" w:fill="auto"/>
            <w:noWrap/>
            <w:vAlign w:val="center"/>
            <w:hideMark/>
          </w:tcPr>
          <w:p w14:paraId="3F1FCBA1" w14:textId="77777777" w:rsidR="00F2340D" w:rsidRPr="00DD1154" w:rsidRDefault="00F2340D" w:rsidP="00F2340D">
            <w:pPr>
              <w:spacing w:after="0" w:line="240" w:lineRule="auto"/>
              <w:jc w:val="right"/>
              <w:rPr>
                <w:rFonts w:eastAsia="Times New Roman"/>
                <w:color w:val="000000"/>
                <w:lang w:eastAsia="hr-HR"/>
              </w:rPr>
            </w:pPr>
            <w:r w:rsidRPr="00DD1154">
              <w:rPr>
                <w:rFonts w:eastAsia="Times New Roman"/>
                <w:color w:val="000000"/>
                <w:lang w:eastAsia="hr-HR"/>
              </w:rPr>
              <w:t>226.500.000,00</w:t>
            </w:r>
          </w:p>
        </w:tc>
      </w:tr>
      <w:tr w:rsidR="00F2340D" w:rsidRPr="00DD1154" w14:paraId="1D432CAD" w14:textId="77777777" w:rsidTr="00F2340D">
        <w:trPr>
          <w:trHeight w:val="330"/>
        </w:trPr>
        <w:tc>
          <w:tcPr>
            <w:tcW w:w="4111" w:type="dxa"/>
            <w:tcBorders>
              <w:top w:val="nil"/>
              <w:left w:val="single" w:sz="8" w:space="0" w:color="auto"/>
              <w:bottom w:val="single" w:sz="8" w:space="0" w:color="auto"/>
              <w:right w:val="single" w:sz="8" w:space="0" w:color="auto"/>
            </w:tcBorders>
            <w:shd w:val="clear" w:color="000000" w:fill="2F75B5"/>
            <w:noWrap/>
            <w:vAlign w:val="center"/>
            <w:hideMark/>
          </w:tcPr>
          <w:p w14:paraId="722937CF" w14:textId="77777777" w:rsidR="00F2340D" w:rsidRPr="00DD1154" w:rsidRDefault="00F2340D" w:rsidP="00F2340D">
            <w:pPr>
              <w:spacing w:after="0" w:line="240" w:lineRule="auto"/>
              <w:rPr>
                <w:rFonts w:eastAsia="Times New Roman"/>
                <w:b/>
                <w:bCs/>
                <w:color w:val="000000"/>
                <w:lang w:eastAsia="hr-HR"/>
              </w:rPr>
            </w:pPr>
            <w:r w:rsidRPr="00DD1154">
              <w:rPr>
                <w:rFonts w:eastAsia="Times New Roman"/>
                <w:b/>
                <w:bCs/>
                <w:color w:val="000000"/>
                <w:lang w:eastAsia="hr-HR"/>
              </w:rPr>
              <w:t>SVEUKUPNO</w:t>
            </w:r>
          </w:p>
        </w:tc>
        <w:tc>
          <w:tcPr>
            <w:tcW w:w="1349" w:type="dxa"/>
            <w:tcBorders>
              <w:top w:val="nil"/>
              <w:left w:val="nil"/>
              <w:bottom w:val="single" w:sz="8" w:space="0" w:color="auto"/>
              <w:right w:val="single" w:sz="8" w:space="0" w:color="auto"/>
            </w:tcBorders>
            <w:shd w:val="clear" w:color="000000" w:fill="2F75B5"/>
            <w:noWrap/>
            <w:vAlign w:val="center"/>
            <w:hideMark/>
          </w:tcPr>
          <w:p w14:paraId="324EF730" w14:textId="77777777" w:rsidR="00F2340D" w:rsidRPr="00DD1154" w:rsidRDefault="00F2340D" w:rsidP="00F2340D">
            <w:pPr>
              <w:spacing w:after="0" w:line="240" w:lineRule="auto"/>
              <w:jc w:val="left"/>
              <w:rPr>
                <w:rFonts w:eastAsia="Times New Roman"/>
                <w:color w:val="000000"/>
                <w:lang w:eastAsia="hr-HR"/>
              </w:rPr>
            </w:pPr>
            <w:r w:rsidRPr="00DD1154">
              <w:rPr>
                <w:rFonts w:eastAsia="Times New Roman"/>
                <w:color w:val="000000"/>
                <w:lang w:eastAsia="hr-HR"/>
              </w:rPr>
              <w:t> </w:t>
            </w:r>
          </w:p>
        </w:tc>
        <w:tc>
          <w:tcPr>
            <w:tcW w:w="1770" w:type="dxa"/>
            <w:tcBorders>
              <w:top w:val="nil"/>
              <w:left w:val="nil"/>
              <w:bottom w:val="single" w:sz="8" w:space="0" w:color="auto"/>
              <w:right w:val="single" w:sz="8" w:space="0" w:color="auto"/>
            </w:tcBorders>
            <w:shd w:val="clear" w:color="000000" w:fill="2F75B5"/>
            <w:noWrap/>
            <w:vAlign w:val="center"/>
            <w:hideMark/>
          </w:tcPr>
          <w:p w14:paraId="1A6DB100" w14:textId="77777777" w:rsidR="00F2340D" w:rsidRPr="00DD1154" w:rsidRDefault="00F2340D" w:rsidP="00F2340D">
            <w:pPr>
              <w:spacing w:after="0" w:line="240" w:lineRule="auto"/>
              <w:jc w:val="right"/>
              <w:rPr>
                <w:rFonts w:eastAsia="Times New Roman"/>
                <w:b/>
                <w:bCs/>
                <w:color w:val="000000"/>
                <w:lang w:eastAsia="hr-HR"/>
              </w:rPr>
            </w:pPr>
            <w:r w:rsidRPr="00DD1154">
              <w:rPr>
                <w:rFonts w:eastAsia="Times New Roman"/>
                <w:b/>
                <w:bCs/>
                <w:color w:val="000000"/>
                <w:lang w:eastAsia="hr-HR"/>
              </w:rPr>
              <w:t>99.146.772,29</w:t>
            </w:r>
          </w:p>
        </w:tc>
        <w:tc>
          <w:tcPr>
            <w:tcW w:w="2126" w:type="dxa"/>
            <w:tcBorders>
              <w:top w:val="nil"/>
              <w:left w:val="nil"/>
              <w:bottom w:val="single" w:sz="8" w:space="0" w:color="auto"/>
              <w:right w:val="single" w:sz="8" w:space="0" w:color="auto"/>
            </w:tcBorders>
            <w:shd w:val="clear" w:color="000000" w:fill="2F75B5"/>
            <w:noWrap/>
            <w:vAlign w:val="center"/>
            <w:hideMark/>
          </w:tcPr>
          <w:p w14:paraId="7D2C0831" w14:textId="101EB8E8" w:rsidR="00F2340D" w:rsidRPr="00DD1154" w:rsidRDefault="00F2340D" w:rsidP="00D57D1F">
            <w:pPr>
              <w:spacing w:after="0" w:line="240" w:lineRule="auto"/>
              <w:jc w:val="right"/>
              <w:rPr>
                <w:rFonts w:eastAsia="Times New Roman"/>
                <w:b/>
                <w:bCs/>
                <w:color w:val="000000"/>
                <w:lang w:eastAsia="hr-HR"/>
              </w:rPr>
            </w:pPr>
            <w:r w:rsidRPr="00DD1154">
              <w:rPr>
                <w:rFonts w:eastAsia="Times New Roman"/>
                <w:b/>
                <w:bCs/>
                <w:color w:val="000000"/>
                <w:lang w:eastAsia="hr-HR"/>
              </w:rPr>
              <w:t>324.750.891,</w:t>
            </w:r>
            <w:r w:rsidR="00D57D1F">
              <w:rPr>
                <w:rFonts w:eastAsia="Times New Roman"/>
                <w:b/>
                <w:bCs/>
                <w:color w:val="000000"/>
                <w:lang w:eastAsia="hr-HR"/>
              </w:rPr>
              <w:t>48</w:t>
            </w:r>
          </w:p>
        </w:tc>
      </w:tr>
    </w:tbl>
    <w:p w14:paraId="76A019B0" w14:textId="7F38A2E8" w:rsidR="005A0EE2" w:rsidRPr="00DD1154" w:rsidRDefault="005A0EE2" w:rsidP="008D4D94">
      <w:pPr>
        <w:spacing w:after="0" w:line="240" w:lineRule="auto"/>
        <w:rPr>
          <w:noProof/>
        </w:rPr>
      </w:pPr>
    </w:p>
    <w:p w14:paraId="7B6533F0" w14:textId="31E51A1A" w:rsidR="00DB4806" w:rsidRDefault="00DB4806" w:rsidP="008D4D94">
      <w:pPr>
        <w:spacing w:after="0" w:line="240" w:lineRule="auto"/>
        <w:rPr>
          <w:noProof/>
        </w:rPr>
      </w:pPr>
    </w:p>
    <w:p w14:paraId="3D271A5B" w14:textId="588EAED7" w:rsidR="00770AC3" w:rsidRDefault="00770AC3" w:rsidP="008D4D94">
      <w:pPr>
        <w:spacing w:after="0" w:line="240" w:lineRule="auto"/>
        <w:rPr>
          <w:noProof/>
        </w:rPr>
      </w:pPr>
    </w:p>
    <w:p w14:paraId="74D641F3" w14:textId="18BD767D" w:rsidR="00770AC3" w:rsidRDefault="00770AC3" w:rsidP="008D4D94">
      <w:pPr>
        <w:spacing w:after="0" w:line="240" w:lineRule="auto"/>
        <w:rPr>
          <w:noProof/>
        </w:rPr>
      </w:pPr>
    </w:p>
    <w:p w14:paraId="3777532E" w14:textId="77777777" w:rsidR="00770AC3" w:rsidRPr="00DD1154" w:rsidRDefault="00770AC3" w:rsidP="008D4D94">
      <w:pPr>
        <w:spacing w:after="0" w:line="240" w:lineRule="auto"/>
        <w:rPr>
          <w:noProof/>
        </w:rPr>
      </w:pPr>
    </w:p>
    <w:p w14:paraId="743ADC1C" w14:textId="4067A6C4" w:rsidR="00657BFF" w:rsidRPr="00DD1154" w:rsidRDefault="009A1F98" w:rsidP="008D4D94">
      <w:pPr>
        <w:spacing w:after="0" w:line="240" w:lineRule="auto"/>
      </w:pPr>
      <w:r w:rsidRPr="00DD1154">
        <w:rPr>
          <w:b/>
        </w:rPr>
        <w:t>Tablica 1.2</w:t>
      </w:r>
      <w:r w:rsidR="003E2D40" w:rsidRPr="00DD1154">
        <w:rPr>
          <w:b/>
        </w:rPr>
        <w:t>.</w:t>
      </w:r>
      <w:r w:rsidR="003E2D40" w:rsidRPr="00DD1154">
        <w:t xml:space="preserve"> </w:t>
      </w:r>
      <w:r w:rsidR="00551DB0" w:rsidRPr="00DD1154">
        <w:tab/>
      </w:r>
      <w:r w:rsidR="00657BFF" w:rsidRPr="00DD1154">
        <w:t>Iz</w:t>
      </w:r>
      <w:r w:rsidR="00AF51FE" w:rsidRPr="00DD1154">
        <w:t xml:space="preserve">vršenje prioritetnih mjera </w:t>
      </w:r>
      <w:r w:rsidR="00FE46A5" w:rsidRPr="00DD1154">
        <w:t xml:space="preserve">Plana </w:t>
      </w:r>
      <w:r w:rsidR="00AF51FE" w:rsidRPr="00DD1154">
        <w:t xml:space="preserve">u </w:t>
      </w:r>
      <w:r w:rsidR="00FE46A5" w:rsidRPr="00DD1154">
        <w:t xml:space="preserve">2019. i </w:t>
      </w:r>
      <w:r w:rsidR="00AF51FE" w:rsidRPr="00DD1154">
        <w:t>2020</w:t>
      </w:r>
      <w:r w:rsidRPr="00DD1154">
        <w:t xml:space="preserve">. godini </w:t>
      </w:r>
    </w:p>
    <w:p w14:paraId="28AC66E9" w14:textId="77777777" w:rsidR="00C30297" w:rsidRPr="00DD1154" w:rsidRDefault="00C30297" w:rsidP="008D4D94">
      <w:pPr>
        <w:spacing w:after="0" w:line="240" w:lineRule="auto"/>
      </w:pPr>
    </w:p>
    <w:tbl>
      <w:tblPr>
        <w:tblW w:w="9639" w:type="dxa"/>
        <w:tblInd w:w="-5" w:type="dxa"/>
        <w:tblLook w:val="04A0" w:firstRow="1" w:lastRow="0" w:firstColumn="1" w:lastColumn="0" w:noHBand="0" w:noVBand="1"/>
      </w:tblPr>
      <w:tblGrid>
        <w:gridCol w:w="1097"/>
        <w:gridCol w:w="3298"/>
        <w:gridCol w:w="1701"/>
        <w:gridCol w:w="1842"/>
        <w:gridCol w:w="1716"/>
      </w:tblGrid>
      <w:tr w:rsidR="00C30297" w:rsidRPr="00DD1154" w14:paraId="4A1A6722" w14:textId="77777777" w:rsidTr="00A56021">
        <w:trPr>
          <w:trHeight w:val="645"/>
        </w:trPr>
        <w:tc>
          <w:tcPr>
            <w:tcW w:w="1097" w:type="dxa"/>
            <w:tcBorders>
              <w:top w:val="single" w:sz="4" w:space="0" w:color="auto"/>
              <w:left w:val="single" w:sz="4" w:space="0" w:color="auto"/>
              <w:bottom w:val="double" w:sz="6" w:space="0" w:color="auto"/>
              <w:right w:val="single" w:sz="4" w:space="0" w:color="auto"/>
            </w:tcBorders>
            <w:shd w:val="clear" w:color="000000" w:fill="9BC2E6"/>
            <w:noWrap/>
            <w:vAlign w:val="center"/>
            <w:hideMark/>
          </w:tcPr>
          <w:p w14:paraId="427C8938" w14:textId="77777777" w:rsidR="00C30297" w:rsidRPr="00DD1154" w:rsidRDefault="00C30297" w:rsidP="00C30297">
            <w:pPr>
              <w:spacing w:after="0" w:line="240" w:lineRule="auto"/>
              <w:rPr>
                <w:rFonts w:eastAsia="Times New Roman"/>
                <w:b/>
                <w:bCs/>
                <w:color w:val="000000"/>
                <w:lang w:eastAsia="hr-HR"/>
              </w:rPr>
            </w:pPr>
            <w:r w:rsidRPr="00DD1154">
              <w:rPr>
                <w:rFonts w:eastAsia="Times New Roman"/>
                <w:b/>
                <w:bCs/>
                <w:color w:val="000000"/>
                <w:lang w:eastAsia="hr-HR"/>
              </w:rPr>
              <w:t>Oznaka</w:t>
            </w:r>
          </w:p>
        </w:tc>
        <w:tc>
          <w:tcPr>
            <w:tcW w:w="3298" w:type="dxa"/>
            <w:tcBorders>
              <w:top w:val="single" w:sz="4" w:space="0" w:color="auto"/>
              <w:left w:val="nil"/>
              <w:bottom w:val="double" w:sz="6" w:space="0" w:color="auto"/>
              <w:right w:val="single" w:sz="4" w:space="0" w:color="auto"/>
            </w:tcBorders>
            <w:shd w:val="clear" w:color="000000" w:fill="9BC2E6"/>
            <w:noWrap/>
            <w:vAlign w:val="center"/>
            <w:hideMark/>
          </w:tcPr>
          <w:p w14:paraId="3EA8FDB7" w14:textId="77777777" w:rsidR="00C30297" w:rsidRPr="00DD1154" w:rsidRDefault="00C30297" w:rsidP="00C30297">
            <w:pPr>
              <w:spacing w:after="0" w:line="240" w:lineRule="auto"/>
              <w:rPr>
                <w:rFonts w:eastAsia="Times New Roman"/>
                <w:b/>
                <w:bCs/>
                <w:color w:val="000000"/>
                <w:lang w:eastAsia="hr-HR"/>
              </w:rPr>
            </w:pPr>
            <w:r w:rsidRPr="00DD1154">
              <w:rPr>
                <w:rFonts w:eastAsia="Times New Roman"/>
                <w:b/>
                <w:bCs/>
                <w:color w:val="000000"/>
                <w:lang w:eastAsia="hr-HR"/>
              </w:rPr>
              <w:t>Prioritetna mjera</w:t>
            </w:r>
          </w:p>
        </w:tc>
        <w:tc>
          <w:tcPr>
            <w:tcW w:w="1701" w:type="dxa"/>
            <w:tcBorders>
              <w:top w:val="single" w:sz="4" w:space="0" w:color="auto"/>
              <w:left w:val="nil"/>
              <w:bottom w:val="double" w:sz="6" w:space="0" w:color="auto"/>
              <w:right w:val="single" w:sz="4" w:space="0" w:color="auto"/>
            </w:tcBorders>
            <w:shd w:val="clear" w:color="000000" w:fill="9BC2E6"/>
            <w:vAlign w:val="center"/>
            <w:hideMark/>
          </w:tcPr>
          <w:p w14:paraId="741A1D2F" w14:textId="64BDC17D" w:rsidR="00C30297" w:rsidRPr="00DD1154" w:rsidRDefault="00C30297" w:rsidP="00C11641">
            <w:pPr>
              <w:spacing w:after="0" w:line="240" w:lineRule="auto"/>
              <w:jc w:val="center"/>
              <w:rPr>
                <w:rFonts w:eastAsia="Times New Roman"/>
                <w:b/>
                <w:bCs/>
                <w:color w:val="000000"/>
                <w:lang w:eastAsia="hr-HR"/>
              </w:rPr>
            </w:pPr>
            <w:r w:rsidRPr="00DD1154">
              <w:rPr>
                <w:rFonts w:eastAsia="Times New Roman"/>
                <w:b/>
                <w:bCs/>
                <w:color w:val="000000"/>
                <w:lang w:eastAsia="hr-HR"/>
              </w:rPr>
              <w:t>Realizacija 2019. [</w:t>
            </w:r>
            <w:r w:rsidR="00C11641" w:rsidRPr="00DD1154">
              <w:rPr>
                <w:rFonts w:eastAsia="Times New Roman"/>
                <w:b/>
                <w:bCs/>
                <w:color w:val="000000"/>
                <w:lang w:eastAsia="hr-HR"/>
              </w:rPr>
              <w:t>kn</w:t>
            </w:r>
            <w:r w:rsidRPr="00DD1154">
              <w:rPr>
                <w:rFonts w:eastAsia="Times New Roman"/>
                <w:b/>
                <w:bCs/>
                <w:color w:val="000000"/>
                <w:lang w:eastAsia="hr-HR"/>
              </w:rPr>
              <w:t>]</w:t>
            </w:r>
          </w:p>
        </w:tc>
        <w:tc>
          <w:tcPr>
            <w:tcW w:w="1842" w:type="dxa"/>
            <w:tcBorders>
              <w:top w:val="single" w:sz="4" w:space="0" w:color="auto"/>
              <w:left w:val="nil"/>
              <w:bottom w:val="double" w:sz="6" w:space="0" w:color="auto"/>
              <w:right w:val="single" w:sz="4" w:space="0" w:color="auto"/>
            </w:tcBorders>
            <w:shd w:val="clear" w:color="000000" w:fill="9BC2E6"/>
            <w:vAlign w:val="center"/>
            <w:hideMark/>
          </w:tcPr>
          <w:p w14:paraId="28DE8DC2" w14:textId="0AFDBD95" w:rsidR="00C30297" w:rsidRPr="00DD1154" w:rsidRDefault="00C30297" w:rsidP="00C11641">
            <w:pPr>
              <w:spacing w:after="0" w:line="240" w:lineRule="auto"/>
              <w:jc w:val="center"/>
              <w:rPr>
                <w:rFonts w:eastAsia="Times New Roman"/>
                <w:b/>
                <w:bCs/>
                <w:color w:val="000000"/>
                <w:lang w:eastAsia="hr-HR"/>
              </w:rPr>
            </w:pPr>
            <w:r w:rsidRPr="00DD1154">
              <w:rPr>
                <w:rFonts w:eastAsia="Times New Roman"/>
                <w:b/>
                <w:bCs/>
                <w:color w:val="000000"/>
                <w:lang w:eastAsia="hr-HR"/>
              </w:rPr>
              <w:t>Realizacija 2020. [</w:t>
            </w:r>
            <w:r w:rsidR="00C11641" w:rsidRPr="00DD1154">
              <w:rPr>
                <w:rFonts w:eastAsia="Times New Roman"/>
                <w:b/>
                <w:bCs/>
                <w:color w:val="000000"/>
                <w:lang w:eastAsia="hr-HR"/>
              </w:rPr>
              <w:t>kn</w:t>
            </w:r>
            <w:r w:rsidRPr="00DD1154">
              <w:rPr>
                <w:rFonts w:eastAsia="Times New Roman"/>
                <w:b/>
                <w:bCs/>
                <w:color w:val="000000"/>
                <w:lang w:eastAsia="hr-HR"/>
              </w:rPr>
              <w:t>]</w:t>
            </w:r>
          </w:p>
        </w:tc>
        <w:tc>
          <w:tcPr>
            <w:tcW w:w="1701" w:type="dxa"/>
            <w:tcBorders>
              <w:top w:val="single" w:sz="4" w:space="0" w:color="auto"/>
              <w:left w:val="nil"/>
              <w:bottom w:val="double" w:sz="6" w:space="0" w:color="auto"/>
              <w:right w:val="single" w:sz="4" w:space="0" w:color="auto"/>
            </w:tcBorders>
            <w:shd w:val="clear" w:color="000000" w:fill="9BC2E6"/>
            <w:vAlign w:val="center"/>
            <w:hideMark/>
          </w:tcPr>
          <w:p w14:paraId="7CF124B6"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t xml:space="preserve">Ukupno </w:t>
            </w:r>
          </w:p>
        </w:tc>
      </w:tr>
      <w:tr w:rsidR="00C30297" w:rsidRPr="00DD1154" w14:paraId="64A3FAE2" w14:textId="77777777" w:rsidTr="00A56021">
        <w:trPr>
          <w:trHeight w:val="330"/>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71F3577E"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t>OI</w:t>
            </w:r>
          </w:p>
        </w:tc>
        <w:tc>
          <w:tcPr>
            <w:tcW w:w="3298" w:type="dxa"/>
            <w:tcBorders>
              <w:top w:val="nil"/>
              <w:left w:val="nil"/>
              <w:bottom w:val="single" w:sz="4" w:space="0" w:color="auto"/>
              <w:right w:val="single" w:sz="4" w:space="0" w:color="auto"/>
            </w:tcBorders>
            <w:shd w:val="clear" w:color="auto" w:fill="auto"/>
            <w:noWrap/>
            <w:vAlign w:val="center"/>
            <w:hideMark/>
          </w:tcPr>
          <w:p w14:paraId="1F707C4E" w14:textId="77777777"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Obnovljivi izvori energije</w:t>
            </w:r>
          </w:p>
        </w:tc>
        <w:tc>
          <w:tcPr>
            <w:tcW w:w="1701" w:type="dxa"/>
            <w:tcBorders>
              <w:top w:val="nil"/>
              <w:left w:val="nil"/>
              <w:bottom w:val="single" w:sz="4" w:space="0" w:color="auto"/>
              <w:right w:val="single" w:sz="4" w:space="0" w:color="auto"/>
            </w:tcBorders>
            <w:shd w:val="clear" w:color="auto" w:fill="auto"/>
            <w:noWrap/>
            <w:vAlign w:val="center"/>
            <w:hideMark/>
          </w:tcPr>
          <w:p w14:paraId="395D75CF"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6.807.075,43</w:t>
            </w:r>
          </w:p>
        </w:tc>
        <w:tc>
          <w:tcPr>
            <w:tcW w:w="1842" w:type="dxa"/>
            <w:tcBorders>
              <w:top w:val="nil"/>
              <w:left w:val="nil"/>
              <w:bottom w:val="single" w:sz="4" w:space="0" w:color="auto"/>
              <w:right w:val="single" w:sz="4" w:space="0" w:color="auto"/>
            </w:tcBorders>
            <w:shd w:val="clear" w:color="auto" w:fill="auto"/>
            <w:noWrap/>
            <w:vAlign w:val="center"/>
            <w:hideMark/>
          </w:tcPr>
          <w:p w14:paraId="517D45E3"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26.548.658,77</w:t>
            </w:r>
          </w:p>
        </w:tc>
        <w:tc>
          <w:tcPr>
            <w:tcW w:w="1701" w:type="dxa"/>
            <w:tcBorders>
              <w:top w:val="nil"/>
              <w:left w:val="nil"/>
              <w:bottom w:val="single" w:sz="4" w:space="0" w:color="auto"/>
              <w:right w:val="single" w:sz="4" w:space="0" w:color="auto"/>
            </w:tcBorders>
            <w:shd w:val="clear" w:color="auto" w:fill="auto"/>
            <w:noWrap/>
            <w:vAlign w:val="center"/>
            <w:hideMark/>
          </w:tcPr>
          <w:p w14:paraId="4DEEFE70"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33.355.734,20</w:t>
            </w:r>
          </w:p>
        </w:tc>
      </w:tr>
      <w:tr w:rsidR="00C30297" w:rsidRPr="00DD1154" w14:paraId="0A6B4E64" w14:textId="77777777" w:rsidTr="00A56021">
        <w:trPr>
          <w:trHeight w:val="630"/>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01DC9509"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lastRenderedPageBreak/>
              <w:t>ENU</w:t>
            </w:r>
          </w:p>
        </w:tc>
        <w:tc>
          <w:tcPr>
            <w:tcW w:w="3298" w:type="dxa"/>
            <w:tcBorders>
              <w:top w:val="nil"/>
              <w:left w:val="nil"/>
              <w:bottom w:val="single" w:sz="4" w:space="0" w:color="auto"/>
              <w:right w:val="single" w:sz="4" w:space="0" w:color="auto"/>
            </w:tcBorders>
            <w:shd w:val="clear" w:color="auto" w:fill="auto"/>
            <w:noWrap/>
            <w:vAlign w:val="center"/>
            <w:hideMark/>
          </w:tcPr>
          <w:p w14:paraId="064E2116" w14:textId="6D540CFC"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Energetska učinkovitost (bez sektora prometa)</w:t>
            </w:r>
          </w:p>
        </w:tc>
        <w:tc>
          <w:tcPr>
            <w:tcW w:w="1701" w:type="dxa"/>
            <w:tcBorders>
              <w:top w:val="nil"/>
              <w:left w:val="nil"/>
              <w:bottom w:val="single" w:sz="4" w:space="0" w:color="auto"/>
              <w:right w:val="single" w:sz="4" w:space="0" w:color="auto"/>
            </w:tcBorders>
            <w:shd w:val="clear" w:color="auto" w:fill="auto"/>
            <w:noWrap/>
            <w:vAlign w:val="center"/>
            <w:hideMark/>
          </w:tcPr>
          <w:p w14:paraId="7E57FFEA"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57.601.582,13</w:t>
            </w:r>
          </w:p>
        </w:tc>
        <w:tc>
          <w:tcPr>
            <w:tcW w:w="1842" w:type="dxa"/>
            <w:tcBorders>
              <w:top w:val="nil"/>
              <w:left w:val="nil"/>
              <w:bottom w:val="single" w:sz="4" w:space="0" w:color="auto"/>
              <w:right w:val="single" w:sz="4" w:space="0" w:color="auto"/>
            </w:tcBorders>
            <w:shd w:val="clear" w:color="auto" w:fill="auto"/>
            <w:noWrap/>
            <w:vAlign w:val="center"/>
            <w:hideMark/>
          </w:tcPr>
          <w:p w14:paraId="1101AA50" w14:textId="75407BAD" w:rsidR="00C30297" w:rsidRPr="00DD1154" w:rsidRDefault="00576114" w:rsidP="00CF3958">
            <w:pPr>
              <w:spacing w:after="0" w:line="240" w:lineRule="auto"/>
              <w:jc w:val="right"/>
              <w:rPr>
                <w:rFonts w:eastAsia="Times New Roman"/>
                <w:color w:val="000000"/>
                <w:lang w:eastAsia="hr-HR"/>
              </w:rPr>
            </w:pPr>
            <w:r w:rsidRPr="00DD1154">
              <w:rPr>
                <w:rFonts w:eastAsia="Times New Roman"/>
                <w:lang w:eastAsia="hr-HR"/>
              </w:rPr>
              <w:t>242.242.282,</w:t>
            </w:r>
            <w:r w:rsidR="000D2CA3">
              <w:rPr>
                <w:rFonts w:eastAsia="Times New Roman"/>
                <w:lang w:eastAsia="hr-HR"/>
              </w:rPr>
              <w:t>48</w:t>
            </w:r>
            <w:r w:rsidR="00C30297" w:rsidRPr="00DD1154">
              <w:rPr>
                <w:rFonts w:eastAsia="Times New Roman"/>
                <w:color w:val="000000"/>
                <w:vertAlign w:val="superscript"/>
                <w:lang w:eastAsia="hr-HR"/>
              </w:rPr>
              <w:t>*</w:t>
            </w:r>
          </w:p>
        </w:tc>
        <w:tc>
          <w:tcPr>
            <w:tcW w:w="1701" w:type="dxa"/>
            <w:tcBorders>
              <w:top w:val="nil"/>
              <w:left w:val="nil"/>
              <w:bottom w:val="single" w:sz="4" w:space="0" w:color="auto"/>
              <w:right w:val="single" w:sz="4" w:space="0" w:color="auto"/>
            </w:tcBorders>
            <w:shd w:val="clear" w:color="auto" w:fill="auto"/>
            <w:noWrap/>
            <w:vAlign w:val="center"/>
            <w:hideMark/>
          </w:tcPr>
          <w:p w14:paraId="07EF826D" w14:textId="233E3A8A" w:rsidR="00C30297" w:rsidRPr="00DD1154" w:rsidRDefault="006229F7" w:rsidP="000C1538">
            <w:pPr>
              <w:spacing w:after="0" w:line="240" w:lineRule="auto"/>
              <w:jc w:val="right"/>
              <w:rPr>
                <w:rFonts w:eastAsia="Times New Roman"/>
                <w:color w:val="000000"/>
                <w:lang w:eastAsia="hr-HR"/>
              </w:rPr>
            </w:pPr>
            <w:r w:rsidRPr="00DD1154">
              <w:rPr>
                <w:rFonts w:eastAsia="Times New Roman"/>
                <w:color w:val="000000"/>
                <w:lang w:eastAsia="hr-HR"/>
              </w:rPr>
              <w:t>299.843.864,6</w:t>
            </w:r>
            <w:r w:rsidR="000C1538">
              <w:rPr>
                <w:rFonts w:eastAsia="Times New Roman"/>
                <w:color w:val="000000"/>
                <w:lang w:eastAsia="hr-HR"/>
              </w:rPr>
              <w:t>1</w:t>
            </w:r>
          </w:p>
        </w:tc>
      </w:tr>
      <w:tr w:rsidR="00C30297" w:rsidRPr="00DD1154" w14:paraId="6CEE1C2A" w14:textId="77777777" w:rsidTr="00A56021">
        <w:trPr>
          <w:trHeight w:val="31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51AB0E0C"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t>ENS</w:t>
            </w:r>
          </w:p>
        </w:tc>
        <w:tc>
          <w:tcPr>
            <w:tcW w:w="3298" w:type="dxa"/>
            <w:tcBorders>
              <w:top w:val="nil"/>
              <w:left w:val="nil"/>
              <w:bottom w:val="single" w:sz="4" w:space="0" w:color="auto"/>
              <w:right w:val="single" w:sz="4" w:space="0" w:color="auto"/>
            </w:tcBorders>
            <w:shd w:val="clear" w:color="auto" w:fill="auto"/>
            <w:noWrap/>
            <w:vAlign w:val="center"/>
            <w:hideMark/>
          </w:tcPr>
          <w:p w14:paraId="2A46B349" w14:textId="77777777"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Energetsko siromaštvo</w:t>
            </w:r>
          </w:p>
        </w:tc>
        <w:tc>
          <w:tcPr>
            <w:tcW w:w="1701" w:type="dxa"/>
            <w:tcBorders>
              <w:top w:val="nil"/>
              <w:left w:val="nil"/>
              <w:bottom w:val="single" w:sz="4" w:space="0" w:color="auto"/>
              <w:right w:val="single" w:sz="4" w:space="0" w:color="auto"/>
            </w:tcBorders>
            <w:shd w:val="clear" w:color="auto" w:fill="auto"/>
            <w:noWrap/>
            <w:vAlign w:val="center"/>
            <w:hideMark/>
          </w:tcPr>
          <w:p w14:paraId="7558B196"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0</w:t>
            </w:r>
          </w:p>
        </w:tc>
        <w:tc>
          <w:tcPr>
            <w:tcW w:w="1842" w:type="dxa"/>
            <w:tcBorders>
              <w:top w:val="nil"/>
              <w:left w:val="nil"/>
              <w:bottom w:val="single" w:sz="4" w:space="0" w:color="auto"/>
              <w:right w:val="single" w:sz="4" w:space="0" w:color="auto"/>
            </w:tcBorders>
            <w:shd w:val="clear" w:color="auto" w:fill="auto"/>
            <w:noWrap/>
            <w:vAlign w:val="center"/>
            <w:hideMark/>
          </w:tcPr>
          <w:p w14:paraId="66A1BEED" w14:textId="28BE76B8" w:rsidR="00C30297" w:rsidRPr="00DD1154" w:rsidRDefault="00576114" w:rsidP="00C30297">
            <w:pPr>
              <w:spacing w:after="0" w:line="240" w:lineRule="auto"/>
              <w:jc w:val="right"/>
              <w:rPr>
                <w:rFonts w:eastAsia="Times New Roman"/>
                <w:color w:val="000000"/>
                <w:lang w:eastAsia="hr-HR"/>
              </w:rPr>
            </w:pPr>
            <w:r w:rsidRPr="00DD1154">
              <w:rPr>
                <w:rFonts w:eastAsia="Times New Roman"/>
                <w:lang w:eastAsia="hr-HR"/>
              </w:rPr>
              <w:t xml:space="preserve">25.500,00 </w:t>
            </w:r>
          </w:p>
        </w:tc>
        <w:tc>
          <w:tcPr>
            <w:tcW w:w="1701" w:type="dxa"/>
            <w:tcBorders>
              <w:top w:val="nil"/>
              <w:left w:val="nil"/>
              <w:bottom w:val="single" w:sz="4" w:space="0" w:color="auto"/>
              <w:right w:val="single" w:sz="4" w:space="0" w:color="auto"/>
            </w:tcBorders>
            <w:shd w:val="clear" w:color="auto" w:fill="auto"/>
            <w:noWrap/>
            <w:vAlign w:val="center"/>
            <w:hideMark/>
          </w:tcPr>
          <w:p w14:paraId="6626789D" w14:textId="4A80D627" w:rsidR="00C30297" w:rsidRPr="00DD1154" w:rsidRDefault="006229F7" w:rsidP="00C30297">
            <w:pPr>
              <w:spacing w:after="0" w:line="240" w:lineRule="auto"/>
              <w:jc w:val="right"/>
              <w:rPr>
                <w:rFonts w:eastAsia="Times New Roman"/>
                <w:color w:val="000000"/>
                <w:lang w:eastAsia="hr-HR"/>
              </w:rPr>
            </w:pPr>
            <w:r w:rsidRPr="00DD1154">
              <w:rPr>
                <w:rFonts w:eastAsia="Times New Roman"/>
                <w:color w:val="000000"/>
                <w:lang w:eastAsia="hr-HR"/>
              </w:rPr>
              <w:t>25.500,00</w:t>
            </w:r>
          </w:p>
        </w:tc>
      </w:tr>
      <w:tr w:rsidR="00C30297" w:rsidRPr="00DD1154" w14:paraId="718096B9" w14:textId="77777777" w:rsidTr="00A56021">
        <w:trPr>
          <w:trHeight w:val="31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05BB5E23"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t>PR</w:t>
            </w:r>
          </w:p>
        </w:tc>
        <w:tc>
          <w:tcPr>
            <w:tcW w:w="3298" w:type="dxa"/>
            <w:tcBorders>
              <w:top w:val="nil"/>
              <w:left w:val="nil"/>
              <w:bottom w:val="single" w:sz="4" w:space="0" w:color="auto"/>
              <w:right w:val="single" w:sz="4" w:space="0" w:color="auto"/>
            </w:tcBorders>
            <w:shd w:val="clear" w:color="auto" w:fill="auto"/>
            <w:noWrap/>
            <w:vAlign w:val="center"/>
            <w:hideMark/>
          </w:tcPr>
          <w:p w14:paraId="00172755" w14:textId="77777777"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Promet</w:t>
            </w:r>
          </w:p>
        </w:tc>
        <w:tc>
          <w:tcPr>
            <w:tcW w:w="1701" w:type="dxa"/>
            <w:tcBorders>
              <w:top w:val="nil"/>
              <w:left w:val="nil"/>
              <w:bottom w:val="single" w:sz="4" w:space="0" w:color="auto"/>
              <w:right w:val="single" w:sz="4" w:space="0" w:color="auto"/>
            </w:tcBorders>
            <w:shd w:val="clear" w:color="auto" w:fill="auto"/>
            <w:noWrap/>
            <w:vAlign w:val="center"/>
            <w:hideMark/>
          </w:tcPr>
          <w:p w14:paraId="134C875A"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82.139,78</w:t>
            </w:r>
          </w:p>
        </w:tc>
        <w:tc>
          <w:tcPr>
            <w:tcW w:w="1842" w:type="dxa"/>
            <w:tcBorders>
              <w:top w:val="nil"/>
              <w:left w:val="nil"/>
              <w:bottom w:val="single" w:sz="4" w:space="0" w:color="auto"/>
              <w:right w:val="single" w:sz="4" w:space="0" w:color="auto"/>
            </w:tcBorders>
            <w:shd w:val="clear" w:color="auto" w:fill="auto"/>
            <w:noWrap/>
            <w:vAlign w:val="center"/>
            <w:hideMark/>
          </w:tcPr>
          <w:p w14:paraId="79F14642"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125.737,48</w:t>
            </w:r>
          </w:p>
        </w:tc>
        <w:tc>
          <w:tcPr>
            <w:tcW w:w="1701" w:type="dxa"/>
            <w:tcBorders>
              <w:top w:val="nil"/>
              <w:left w:val="nil"/>
              <w:bottom w:val="single" w:sz="4" w:space="0" w:color="auto"/>
              <w:right w:val="single" w:sz="4" w:space="0" w:color="auto"/>
            </w:tcBorders>
            <w:shd w:val="clear" w:color="auto" w:fill="auto"/>
            <w:noWrap/>
            <w:vAlign w:val="center"/>
            <w:hideMark/>
          </w:tcPr>
          <w:p w14:paraId="3821532C"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207.877,26</w:t>
            </w:r>
          </w:p>
        </w:tc>
      </w:tr>
      <w:tr w:rsidR="00C30297" w:rsidRPr="00DD1154" w14:paraId="4FBBE06F" w14:textId="77777777" w:rsidTr="00A56021">
        <w:trPr>
          <w:trHeight w:val="630"/>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6D232BF1"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t>NES/OT</w:t>
            </w:r>
          </w:p>
        </w:tc>
        <w:tc>
          <w:tcPr>
            <w:tcW w:w="3298" w:type="dxa"/>
            <w:tcBorders>
              <w:top w:val="nil"/>
              <w:left w:val="nil"/>
              <w:bottom w:val="single" w:sz="4" w:space="0" w:color="auto"/>
              <w:right w:val="single" w:sz="4" w:space="0" w:color="auto"/>
            </w:tcBorders>
            <w:shd w:val="clear" w:color="auto" w:fill="auto"/>
            <w:noWrap/>
            <w:vAlign w:val="center"/>
            <w:hideMark/>
          </w:tcPr>
          <w:p w14:paraId="7959BCC0" w14:textId="77777777"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Neenergetski sektor (uključujući sektor gospodarenje otpadom)</w:t>
            </w:r>
          </w:p>
        </w:tc>
        <w:tc>
          <w:tcPr>
            <w:tcW w:w="1701" w:type="dxa"/>
            <w:tcBorders>
              <w:top w:val="nil"/>
              <w:left w:val="nil"/>
              <w:bottom w:val="single" w:sz="4" w:space="0" w:color="auto"/>
              <w:right w:val="single" w:sz="4" w:space="0" w:color="auto"/>
            </w:tcBorders>
            <w:shd w:val="clear" w:color="auto" w:fill="auto"/>
            <w:noWrap/>
            <w:vAlign w:val="center"/>
            <w:hideMark/>
          </w:tcPr>
          <w:p w14:paraId="02AB09DD"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9.859.661,15</w:t>
            </w:r>
          </w:p>
        </w:tc>
        <w:tc>
          <w:tcPr>
            <w:tcW w:w="1842" w:type="dxa"/>
            <w:tcBorders>
              <w:top w:val="nil"/>
              <w:left w:val="nil"/>
              <w:bottom w:val="single" w:sz="4" w:space="0" w:color="auto"/>
              <w:right w:val="single" w:sz="4" w:space="0" w:color="auto"/>
            </w:tcBorders>
            <w:shd w:val="clear" w:color="auto" w:fill="auto"/>
            <w:noWrap/>
            <w:vAlign w:val="center"/>
            <w:hideMark/>
          </w:tcPr>
          <w:p w14:paraId="76A61D5A"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12.227.328,22</w:t>
            </w:r>
          </w:p>
        </w:tc>
        <w:tc>
          <w:tcPr>
            <w:tcW w:w="1701" w:type="dxa"/>
            <w:tcBorders>
              <w:top w:val="nil"/>
              <w:left w:val="nil"/>
              <w:bottom w:val="single" w:sz="4" w:space="0" w:color="auto"/>
              <w:right w:val="single" w:sz="4" w:space="0" w:color="auto"/>
            </w:tcBorders>
            <w:shd w:val="clear" w:color="auto" w:fill="auto"/>
            <w:noWrap/>
            <w:vAlign w:val="center"/>
            <w:hideMark/>
          </w:tcPr>
          <w:p w14:paraId="5DC0FD22"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22.086.989,37</w:t>
            </w:r>
          </w:p>
        </w:tc>
      </w:tr>
      <w:tr w:rsidR="00C30297" w:rsidRPr="00DD1154" w14:paraId="2EB11B0C" w14:textId="77777777" w:rsidTr="00A56021">
        <w:trPr>
          <w:trHeight w:val="630"/>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759DEF6B"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t>ESIF</w:t>
            </w:r>
          </w:p>
        </w:tc>
        <w:tc>
          <w:tcPr>
            <w:tcW w:w="3298" w:type="dxa"/>
            <w:tcBorders>
              <w:top w:val="nil"/>
              <w:left w:val="nil"/>
              <w:bottom w:val="single" w:sz="4" w:space="0" w:color="auto"/>
              <w:right w:val="single" w:sz="4" w:space="0" w:color="auto"/>
            </w:tcBorders>
            <w:shd w:val="clear" w:color="auto" w:fill="auto"/>
            <w:noWrap/>
            <w:vAlign w:val="center"/>
            <w:hideMark/>
          </w:tcPr>
          <w:p w14:paraId="46F6C7B1" w14:textId="77777777"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Projekti OPKK i prilagodbe klimatskim promjenama</w:t>
            </w:r>
          </w:p>
        </w:tc>
        <w:tc>
          <w:tcPr>
            <w:tcW w:w="1701" w:type="dxa"/>
            <w:tcBorders>
              <w:top w:val="nil"/>
              <w:left w:val="nil"/>
              <w:bottom w:val="single" w:sz="4" w:space="0" w:color="auto"/>
              <w:right w:val="single" w:sz="4" w:space="0" w:color="auto"/>
            </w:tcBorders>
            <w:shd w:val="clear" w:color="auto" w:fill="auto"/>
            <w:noWrap/>
            <w:vAlign w:val="center"/>
            <w:hideMark/>
          </w:tcPr>
          <w:p w14:paraId="0457B9D4"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10.152.391,09</w:t>
            </w:r>
          </w:p>
        </w:tc>
        <w:tc>
          <w:tcPr>
            <w:tcW w:w="1842" w:type="dxa"/>
            <w:tcBorders>
              <w:top w:val="nil"/>
              <w:left w:val="nil"/>
              <w:bottom w:val="single" w:sz="4" w:space="0" w:color="auto"/>
              <w:right w:val="single" w:sz="4" w:space="0" w:color="auto"/>
            </w:tcBorders>
            <w:shd w:val="clear" w:color="auto" w:fill="auto"/>
            <w:noWrap/>
            <w:vAlign w:val="center"/>
            <w:hideMark/>
          </w:tcPr>
          <w:p w14:paraId="3480BC67"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22.979.792,04</w:t>
            </w:r>
          </w:p>
        </w:tc>
        <w:tc>
          <w:tcPr>
            <w:tcW w:w="1701" w:type="dxa"/>
            <w:tcBorders>
              <w:top w:val="nil"/>
              <w:left w:val="nil"/>
              <w:bottom w:val="single" w:sz="4" w:space="0" w:color="auto"/>
              <w:right w:val="single" w:sz="4" w:space="0" w:color="auto"/>
            </w:tcBorders>
            <w:shd w:val="clear" w:color="auto" w:fill="auto"/>
            <w:noWrap/>
            <w:vAlign w:val="center"/>
            <w:hideMark/>
          </w:tcPr>
          <w:p w14:paraId="49C892B6"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33.132.183,13</w:t>
            </w:r>
          </w:p>
        </w:tc>
      </w:tr>
      <w:tr w:rsidR="00C30297" w:rsidRPr="00DD1154" w14:paraId="085ED270" w14:textId="77777777" w:rsidTr="00A56021">
        <w:trPr>
          <w:trHeight w:val="31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5B676769"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t>IR</w:t>
            </w:r>
          </w:p>
        </w:tc>
        <w:tc>
          <w:tcPr>
            <w:tcW w:w="3298" w:type="dxa"/>
            <w:tcBorders>
              <w:top w:val="nil"/>
              <w:left w:val="nil"/>
              <w:bottom w:val="single" w:sz="4" w:space="0" w:color="auto"/>
              <w:right w:val="single" w:sz="4" w:space="0" w:color="auto"/>
            </w:tcBorders>
            <w:shd w:val="clear" w:color="auto" w:fill="auto"/>
            <w:noWrap/>
            <w:vAlign w:val="center"/>
            <w:hideMark/>
          </w:tcPr>
          <w:p w14:paraId="28F70EFF" w14:textId="77777777"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Istraživanje i razvoj i stručna podrška</w:t>
            </w:r>
          </w:p>
        </w:tc>
        <w:tc>
          <w:tcPr>
            <w:tcW w:w="1701" w:type="dxa"/>
            <w:tcBorders>
              <w:top w:val="nil"/>
              <w:left w:val="nil"/>
              <w:bottom w:val="single" w:sz="4" w:space="0" w:color="auto"/>
              <w:right w:val="single" w:sz="4" w:space="0" w:color="auto"/>
            </w:tcBorders>
            <w:shd w:val="clear" w:color="auto" w:fill="auto"/>
            <w:noWrap/>
            <w:vAlign w:val="center"/>
            <w:hideMark/>
          </w:tcPr>
          <w:p w14:paraId="29071D09"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4.586.525,74</w:t>
            </w:r>
          </w:p>
        </w:tc>
        <w:tc>
          <w:tcPr>
            <w:tcW w:w="1842" w:type="dxa"/>
            <w:tcBorders>
              <w:top w:val="nil"/>
              <w:left w:val="nil"/>
              <w:bottom w:val="single" w:sz="4" w:space="0" w:color="auto"/>
              <w:right w:val="single" w:sz="4" w:space="0" w:color="auto"/>
            </w:tcBorders>
            <w:shd w:val="clear" w:color="auto" w:fill="auto"/>
            <w:noWrap/>
            <w:vAlign w:val="center"/>
            <w:hideMark/>
          </w:tcPr>
          <w:p w14:paraId="10F1B84A"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3.306.973,82</w:t>
            </w:r>
          </w:p>
        </w:tc>
        <w:tc>
          <w:tcPr>
            <w:tcW w:w="1701" w:type="dxa"/>
            <w:tcBorders>
              <w:top w:val="nil"/>
              <w:left w:val="nil"/>
              <w:bottom w:val="single" w:sz="4" w:space="0" w:color="auto"/>
              <w:right w:val="single" w:sz="4" w:space="0" w:color="auto"/>
            </w:tcBorders>
            <w:shd w:val="clear" w:color="auto" w:fill="auto"/>
            <w:noWrap/>
            <w:vAlign w:val="center"/>
            <w:hideMark/>
          </w:tcPr>
          <w:p w14:paraId="2437B671"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7.893.499,56</w:t>
            </w:r>
          </w:p>
        </w:tc>
      </w:tr>
      <w:tr w:rsidR="00C30297" w:rsidRPr="00DD1154" w14:paraId="7C03EA57" w14:textId="77777777" w:rsidTr="00A56021">
        <w:trPr>
          <w:trHeight w:val="31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38BBCDCF"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t>TZ</w:t>
            </w:r>
          </w:p>
        </w:tc>
        <w:tc>
          <w:tcPr>
            <w:tcW w:w="3298" w:type="dxa"/>
            <w:tcBorders>
              <w:top w:val="nil"/>
              <w:left w:val="nil"/>
              <w:bottom w:val="single" w:sz="4" w:space="0" w:color="auto"/>
              <w:right w:val="single" w:sz="4" w:space="0" w:color="auto"/>
            </w:tcBorders>
            <w:shd w:val="clear" w:color="auto" w:fill="auto"/>
            <w:noWrap/>
            <w:vAlign w:val="center"/>
            <w:hideMark/>
          </w:tcPr>
          <w:p w14:paraId="17D33DBE" w14:textId="77777777"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Treće zemlje</w:t>
            </w:r>
          </w:p>
        </w:tc>
        <w:tc>
          <w:tcPr>
            <w:tcW w:w="1701" w:type="dxa"/>
            <w:tcBorders>
              <w:top w:val="nil"/>
              <w:left w:val="nil"/>
              <w:bottom w:val="single" w:sz="4" w:space="0" w:color="auto"/>
              <w:right w:val="single" w:sz="4" w:space="0" w:color="auto"/>
            </w:tcBorders>
            <w:shd w:val="clear" w:color="auto" w:fill="auto"/>
            <w:noWrap/>
            <w:vAlign w:val="center"/>
            <w:hideMark/>
          </w:tcPr>
          <w:p w14:paraId="1DF456B3"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0</w:t>
            </w:r>
          </w:p>
        </w:tc>
        <w:tc>
          <w:tcPr>
            <w:tcW w:w="1842" w:type="dxa"/>
            <w:tcBorders>
              <w:top w:val="nil"/>
              <w:left w:val="nil"/>
              <w:bottom w:val="single" w:sz="4" w:space="0" w:color="auto"/>
              <w:right w:val="single" w:sz="4" w:space="0" w:color="auto"/>
            </w:tcBorders>
            <w:shd w:val="clear" w:color="auto" w:fill="auto"/>
            <w:noWrap/>
            <w:vAlign w:val="center"/>
            <w:hideMark/>
          </w:tcPr>
          <w:p w14:paraId="41AEDF1A"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0</w:t>
            </w:r>
          </w:p>
        </w:tc>
        <w:tc>
          <w:tcPr>
            <w:tcW w:w="1701" w:type="dxa"/>
            <w:tcBorders>
              <w:top w:val="nil"/>
              <w:left w:val="nil"/>
              <w:bottom w:val="single" w:sz="4" w:space="0" w:color="auto"/>
              <w:right w:val="single" w:sz="4" w:space="0" w:color="auto"/>
            </w:tcBorders>
            <w:shd w:val="clear" w:color="auto" w:fill="auto"/>
            <w:noWrap/>
            <w:vAlign w:val="center"/>
            <w:hideMark/>
          </w:tcPr>
          <w:p w14:paraId="6CB1CC9F"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0</w:t>
            </w:r>
          </w:p>
        </w:tc>
      </w:tr>
      <w:tr w:rsidR="00C30297" w:rsidRPr="00DD1154" w14:paraId="720DB326" w14:textId="77777777" w:rsidTr="00A56021">
        <w:trPr>
          <w:trHeight w:val="31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3D42121A" w14:textId="77777777" w:rsidR="00C30297" w:rsidRPr="00DD1154" w:rsidRDefault="00C30297" w:rsidP="00C30297">
            <w:pPr>
              <w:spacing w:after="0" w:line="240" w:lineRule="auto"/>
              <w:jc w:val="center"/>
              <w:rPr>
                <w:rFonts w:eastAsia="Times New Roman"/>
                <w:b/>
                <w:bCs/>
                <w:color w:val="000000"/>
                <w:lang w:eastAsia="hr-HR"/>
              </w:rPr>
            </w:pPr>
            <w:r w:rsidRPr="00DD1154">
              <w:rPr>
                <w:rFonts w:eastAsia="Times New Roman"/>
                <w:b/>
                <w:bCs/>
                <w:color w:val="000000"/>
                <w:lang w:eastAsia="hr-HR"/>
              </w:rPr>
              <w:t>CGO</w:t>
            </w:r>
          </w:p>
        </w:tc>
        <w:tc>
          <w:tcPr>
            <w:tcW w:w="3298" w:type="dxa"/>
            <w:tcBorders>
              <w:top w:val="nil"/>
              <w:left w:val="nil"/>
              <w:bottom w:val="single" w:sz="4" w:space="0" w:color="auto"/>
              <w:right w:val="single" w:sz="4" w:space="0" w:color="auto"/>
            </w:tcBorders>
            <w:shd w:val="clear" w:color="auto" w:fill="auto"/>
            <w:noWrap/>
            <w:vAlign w:val="center"/>
            <w:hideMark/>
          </w:tcPr>
          <w:p w14:paraId="2ABD4B16" w14:textId="77777777"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Centri za gospodarenje otpadom</w:t>
            </w:r>
          </w:p>
        </w:tc>
        <w:tc>
          <w:tcPr>
            <w:tcW w:w="1701" w:type="dxa"/>
            <w:tcBorders>
              <w:top w:val="nil"/>
              <w:left w:val="nil"/>
              <w:bottom w:val="single" w:sz="4" w:space="0" w:color="auto"/>
              <w:right w:val="single" w:sz="4" w:space="0" w:color="auto"/>
            </w:tcBorders>
            <w:shd w:val="clear" w:color="auto" w:fill="auto"/>
            <w:noWrap/>
            <w:vAlign w:val="center"/>
            <w:hideMark/>
          </w:tcPr>
          <w:p w14:paraId="3AF64417"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10.057.396,97</w:t>
            </w:r>
          </w:p>
        </w:tc>
        <w:tc>
          <w:tcPr>
            <w:tcW w:w="1842" w:type="dxa"/>
            <w:tcBorders>
              <w:top w:val="nil"/>
              <w:left w:val="nil"/>
              <w:bottom w:val="single" w:sz="4" w:space="0" w:color="auto"/>
              <w:right w:val="single" w:sz="4" w:space="0" w:color="auto"/>
            </w:tcBorders>
            <w:shd w:val="clear" w:color="auto" w:fill="auto"/>
            <w:noWrap/>
            <w:vAlign w:val="center"/>
            <w:hideMark/>
          </w:tcPr>
          <w:p w14:paraId="149EE992"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17.294.618,67</w:t>
            </w:r>
          </w:p>
        </w:tc>
        <w:tc>
          <w:tcPr>
            <w:tcW w:w="1701" w:type="dxa"/>
            <w:tcBorders>
              <w:top w:val="nil"/>
              <w:left w:val="nil"/>
              <w:bottom w:val="single" w:sz="4" w:space="0" w:color="auto"/>
              <w:right w:val="single" w:sz="4" w:space="0" w:color="auto"/>
            </w:tcBorders>
            <w:shd w:val="clear" w:color="auto" w:fill="auto"/>
            <w:noWrap/>
            <w:vAlign w:val="center"/>
            <w:hideMark/>
          </w:tcPr>
          <w:p w14:paraId="2F7336E5" w14:textId="77777777" w:rsidR="00C30297" w:rsidRPr="00DD1154" w:rsidRDefault="00C30297" w:rsidP="00C30297">
            <w:pPr>
              <w:spacing w:after="0" w:line="240" w:lineRule="auto"/>
              <w:jc w:val="right"/>
              <w:rPr>
                <w:rFonts w:eastAsia="Times New Roman"/>
                <w:color w:val="000000"/>
                <w:lang w:eastAsia="hr-HR"/>
              </w:rPr>
            </w:pPr>
            <w:r w:rsidRPr="00DD1154">
              <w:rPr>
                <w:rFonts w:eastAsia="Times New Roman"/>
                <w:color w:val="000000"/>
                <w:lang w:eastAsia="hr-HR"/>
              </w:rPr>
              <w:t>27.352.015,64</w:t>
            </w:r>
          </w:p>
        </w:tc>
      </w:tr>
      <w:tr w:rsidR="00C30297" w:rsidRPr="00DD1154" w14:paraId="59CD7F98" w14:textId="77777777" w:rsidTr="00A56021">
        <w:trPr>
          <w:trHeight w:val="315"/>
        </w:trPr>
        <w:tc>
          <w:tcPr>
            <w:tcW w:w="1097" w:type="dxa"/>
            <w:tcBorders>
              <w:top w:val="nil"/>
              <w:left w:val="single" w:sz="4" w:space="0" w:color="auto"/>
              <w:bottom w:val="single" w:sz="4" w:space="0" w:color="auto"/>
              <w:right w:val="single" w:sz="4" w:space="0" w:color="auto"/>
            </w:tcBorders>
            <w:shd w:val="clear" w:color="000000" w:fill="9BC2E6"/>
            <w:noWrap/>
            <w:vAlign w:val="center"/>
            <w:hideMark/>
          </w:tcPr>
          <w:p w14:paraId="129EAF58" w14:textId="77777777" w:rsidR="00C30297" w:rsidRPr="00DD1154" w:rsidRDefault="00C30297" w:rsidP="00C30297">
            <w:pPr>
              <w:spacing w:after="0" w:line="240" w:lineRule="auto"/>
              <w:jc w:val="left"/>
              <w:rPr>
                <w:rFonts w:eastAsia="Times New Roman"/>
                <w:color w:val="000000"/>
                <w:lang w:eastAsia="hr-HR"/>
              </w:rPr>
            </w:pPr>
            <w:r w:rsidRPr="00DD1154">
              <w:rPr>
                <w:rFonts w:eastAsia="Times New Roman"/>
                <w:color w:val="000000"/>
                <w:lang w:eastAsia="hr-HR"/>
              </w:rPr>
              <w:t> </w:t>
            </w:r>
          </w:p>
        </w:tc>
        <w:tc>
          <w:tcPr>
            <w:tcW w:w="3298" w:type="dxa"/>
            <w:tcBorders>
              <w:top w:val="nil"/>
              <w:left w:val="nil"/>
              <w:bottom w:val="single" w:sz="4" w:space="0" w:color="auto"/>
              <w:right w:val="single" w:sz="4" w:space="0" w:color="auto"/>
            </w:tcBorders>
            <w:shd w:val="clear" w:color="000000" w:fill="9BC2E6"/>
            <w:noWrap/>
            <w:vAlign w:val="center"/>
            <w:hideMark/>
          </w:tcPr>
          <w:p w14:paraId="6CB9843B" w14:textId="77777777" w:rsidR="00C30297" w:rsidRPr="00DD1154" w:rsidRDefault="00C30297" w:rsidP="00C30297">
            <w:pPr>
              <w:spacing w:after="0" w:line="240" w:lineRule="auto"/>
              <w:rPr>
                <w:rFonts w:eastAsia="Times New Roman"/>
                <w:b/>
                <w:bCs/>
                <w:color w:val="000000"/>
                <w:lang w:eastAsia="hr-HR"/>
              </w:rPr>
            </w:pPr>
            <w:r w:rsidRPr="00DD1154">
              <w:rPr>
                <w:rFonts w:eastAsia="Times New Roman"/>
                <w:b/>
                <w:bCs/>
                <w:color w:val="000000"/>
                <w:lang w:eastAsia="hr-HR"/>
              </w:rPr>
              <w:t>SVEUKUPNO</w:t>
            </w:r>
          </w:p>
        </w:tc>
        <w:tc>
          <w:tcPr>
            <w:tcW w:w="1701" w:type="dxa"/>
            <w:tcBorders>
              <w:top w:val="nil"/>
              <w:left w:val="nil"/>
              <w:bottom w:val="single" w:sz="4" w:space="0" w:color="auto"/>
              <w:right w:val="single" w:sz="4" w:space="0" w:color="auto"/>
            </w:tcBorders>
            <w:shd w:val="clear" w:color="000000" w:fill="9BC2E6"/>
            <w:noWrap/>
            <w:vAlign w:val="center"/>
            <w:hideMark/>
          </w:tcPr>
          <w:p w14:paraId="2412AD4B" w14:textId="77777777" w:rsidR="00C30297" w:rsidRPr="00DD1154" w:rsidRDefault="00C30297" w:rsidP="00C30297">
            <w:pPr>
              <w:spacing w:after="0" w:line="240" w:lineRule="auto"/>
              <w:jc w:val="right"/>
              <w:rPr>
                <w:rFonts w:eastAsia="Times New Roman"/>
                <w:b/>
                <w:bCs/>
                <w:color w:val="000000"/>
                <w:lang w:eastAsia="hr-HR"/>
              </w:rPr>
            </w:pPr>
            <w:r w:rsidRPr="00DD1154">
              <w:rPr>
                <w:rFonts w:eastAsia="Times New Roman"/>
                <w:b/>
                <w:bCs/>
                <w:color w:val="000000"/>
                <w:lang w:eastAsia="hr-HR"/>
              </w:rPr>
              <w:t>99.146.772,29</w:t>
            </w:r>
          </w:p>
        </w:tc>
        <w:tc>
          <w:tcPr>
            <w:tcW w:w="1842" w:type="dxa"/>
            <w:tcBorders>
              <w:top w:val="nil"/>
              <w:left w:val="nil"/>
              <w:bottom w:val="single" w:sz="4" w:space="0" w:color="auto"/>
              <w:right w:val="single" w:sz="4" w:space="0" w:color="auto"/>
            </w:tcBorders>
            <w:shd w:val="clear" w:color="000000" w:fill="9BC2E6"/>
            <w:noWrap/>
            <w:vAlign w:val="center"/>
            <w:hideMark/>
          </w:tcPr>
          <w:p w14:paraId="7B8ED269" w14:textId="45D589C4" w:rsidR="00C30297" w:rsidRPr="00DD1154" w:rsidRDefault="00C30297" w:rsidP="00CF3958">
            <w:pPr>
              <w:spacing w:after="0" w:line="240" w:lineRule="auto"/>
              <w:jc w:val="right"/>
              <w:rPr>
                <w:rFonts w:eastAsia="Times New Roman"/>
                <w:b/>
                <w:bCs/>
                <w:color w:val="000000"/>
                <w:lang w:eastAsia="hr-HR"/>
              </w:rPr>
            </w:pPr>
            <w:r w:rsidRPr="00DD1154">
              <w:rPr>
                <w:rFonts w:eastAsia="Times New Roman"/>
                <w:b/>
                <w:bCs/>
                <w:color w:val="000000"/>
                <w:lang w:eastAsia="hr-HR"/>
              </w:rPr>
              <w:t>324.750.891,</w:t>
            </w:r>
            <w:r w:rsidR="000D2CA3">
              <w:rPr>
                <w:rFonts w:eastAsia="Times New Roman"/>
                <w:b/>
                <w:bCs/>
                <w:color w:val="000000"/>
                <w:lang w:eastAsia="hr-HR"/>
              </w:rPr>
              <w:t>48</w:t>
            </w:r>
          </w:p>
        </w:tc>
        <w:tc>
          <w:tcPr>
            <w:tcW w:w="1701" w:type="dxa"/>
            <w:tcBorders>
              <w:top w:val="nil"/>
              <w:left w:val="nil"/>
              <w:bottom w:val="single" w:sz="4" w:space="0" w:color="auto"/>
              <w:right w:val="single" w:sz="4" w:space="0" w:color="auto"/>
            </w:tcBorders>
            <w:shd w:val="clear" w:color="000000" w:fill="9BC2E6"/>
            <w:noWrap/>
            <w:vAlign w:val="center"/>
            <w:hideMark/>
          </w:tcPr>
          <w:p w14:paraId="312B00E1" w14:textId="7FCEF556" w:rsidR="00C30297" w:rsidRPr="00DD1154" w:rsidRDefault="00C30297" w:rsidP="000C1538">
            <w:pPr>
              <w:spacing w:after="0" w:line="240" w:lineRule="auto"/>
              <w:jc w:val="right"/>
              <w:rPr>
                <w:rFonts w:eastAsia="Times New Roman"/>
                <w:b/>
                <w:bCs/>
                <w:color w:val="000000"/>
                <w:lang w:eastAsia="hr-HR"/>
              </w:rPr>
            </w:pPr>
            <w:r w:rsidRPr="00DD1154">
              <w:rPr>
                <w:rFonts w:eastAsia="Times New Roman"/>
                <w:b/>
                <w:bCs/>
                <w:color w:val="000000"/>
                <w:lang w:eastAsia="hr-HR"/>
              </w:rPr>
              <w:t>423.897.663,7</w:t>
            </w:r>
            <w:r w:rsidR="000C1538">
              <w:rPr>
                <w:rFonts w:eastAsia="Times New Roman"/>
                <w:b/>
                <w:bCs/>
                <w:color w:val="000000"/>
                <w:lang w:eastAsia="hr-HR"/>
              </w:rPr>
              <w:t>7</w:t>
            </w:r>
          </w:p>
        </w:tc>
      </w:tr>
    </w:tbl>
    <w:p w14:paraId="4DF8ABA9" w14:textId="3BDE7708" w:rsidR="006229F7" w:rsidRPr="00DD1154" w:rsidRDefault="001E11C9" w:rsidP="006229F7">
      <w:pPr>
        <w:spacing w:before="240" w:after="60" w:line="240" w:lineRule="auto"/>
        <w:rPr>
          <w:rFonts w:eastAsia="Times New Roman"/>
          <w:lang w:eastAsia="hr-HR"/>
        </w:rPr>
      </w:pPr>
      <w:r w:rsidRPr="00DD1154">
        <w:t xml:space="preserve">*Sadrži i iznos od 226.500.000 </w:t>
      </w:r>
      <w:r w:rsidR="00C11641" w:rsidRPr="00DD1154">
        <w:t>kn</w:t>
      </w:r>
      <w:r w:rsidRPr="00DD1154">
        <w:t xml:space="preserve"> koji je utrošen za podmirenje obveza nastalih u provedbi Programa energetske obnove obiteljskih kuća za razdoblje od 2014. do 2020. godine, a prikazan je </w:t>
      </w:r>
      <w:r w:rsidR="006229F7" w:rsidRPr="00DD1154">
        <w:t xml:space="preserve">u Financijskom planu Fonda </w:t>
      </w:r>
      <w:r w:rsidRPr="00DD1154">
        <w:t>na aktivnosti Administrativno upravljanje i opremanje (</w:t>
      </w:r>
      <w:r w:rsidR="006229F7" w:rsidRPr="00DD1154">
        <w:rPr>
          <w:rFonts w:eastAsia="Times New Roman"/>
          <w:lang w:eastAsia="hr-HR"/>
        </w:rPr>
        <w:t>A200001), ali se odnosi na mjeru ENU.</w:t>
      </w:r>
    </w:p>
    <w:p w14:paraId="0FEBBF5A" w14:textId="1397E36F" w:rsidR="00D05482" w:rsidRPr="00DD1154" w:rsidRDefault="008D1D1C" w:rsidP="00714FDB">
      <w:pPr>
        <w:spacing w:before="240" w:after="60" w:line="240" w:lineRule="auto"/>
      </w:pPr>
      <w:r w:rsidRPr="00DD1154">
        <w:rPr>
          <w:b/>
        </w:rPr>
        <w:t>Poglavlje</w:t>
      </w:r>
      <w:r w:rsidR="00B966A6" w:rsidRPr="00DD1154">
        <w:rPr>
          <w:b/>
        </w:rPr>
        <w:t xml:space="preserve"> 2.</w:t>
      </w:r>
      <w:r w:rsidR="00B966A6" w:rsidRPr="00DD1154">
        <w:t xml:space="preserve"> ovoga Izvješća </w:t>
      </w:r>
      <w:r w:rsidRPr="00DD1154">
        <w:t xml:space="preserve">sadrži alokaciju financijskih sredstava </w:t>
      </w:r>
      <w:r w:rsidR="00726B83" w:rsidRPr="00DD1154">
        <w:t>dobivenih od prodaje emisijskih jedinica putem dražbi</w:t>
      </w:r>
      <w:r w:rsidR="0009569F" w:rsidRPr="00DD1154">
        <w:t xml:space="preserve"> u </w:t>
      </w:r>
      <w:r w:rsidR="00C30297" w:rsidRPr="00DD1154">
        <w:t xml:space="preserve">2019. i </w:t>
      </w:r>
      <w:r w:rsidR="0009569F" w:rsidRPr="00DD1154">
        <w:t>2020</w:t>
      </w:r>
      <w:r w:rsidR="00657BFF" w:rsidRPr="00DD1154">
        <w:t xml:space="preserve">. godini </w:t>
      </w:r>
      <w:r w:rsidRPr="00DD1154">
        <w:t xml:space="preserve">te opis korištenja </w:t>
      </w:r>
      <w:r w:rsidR="0029526A" w:rsidRPr="00DD1154">
        <w:t xml:space="preserve">istih </w:t>
      </w:r>
      <w:r w:rsidR="005A0EE2" w:rsidRPr="00DD1154">
        <w:t xml:space="preserve">po projektima i </w:t>
      </w:r>
      <w:r w:rsidR="00657BFF" w:rsidRPr="00DD1154">
        <w:t xml:space="preserve">po prioritetnim mjerama </w:t>
      </w:r>
      <w:r w:rsidR="00FA0C39" w:rsidRPr="00DD1154">
        <w:t>Plana.</w:t>
      </w:r>
    </w:p>
    <w:p w14:paraId="337B6210" w14:textId="7DBCA53A" w:rsidR="005B6079" w:rsidRPr="00DD1154" w:rsidRDefault="0042598F" w:rsidP="008D4D94">
      <w:pPr>
        <w:spacing w:line="240" w:lineRule="auto"/>
      </w:pPr>
      <w:r w:rsidRPr="00DD1154">
        <w:br w:type="page"/>
      </w:r>
    </w:p>
    <w:p w14:paraId="6C39A027" w14:textId="0A5B2B65" w:rsidR="00A709FD" w:rsidRPr="00DD1154" w:rsidRDefault="00C30297" w:rsidP="00C30297">
      <w:pPr>
        <w:pStyle w:val="Heading1"/>
        <w:rPr>
          <w:sz w:val="24"/>
          <w:szCs w:val="24"/>
        </w:rPr>
      </w:pPr>
      <w:bookmarkStart w:id="3" w:name="_Toc89261068"/>
      <w:bookmarkStart w:id="4" w:name="_Toc481668211"/>
      <w:r w:rsidRPr="00DD1154">
        <w:rPr>
          <w:sz w:val="24"/>
          <w:szCs w:val="24"/>
        </w:rPr>
        <w:lastRenderedPageBreak/>
        <w:t>Alokacija financijskih sredstava dobivenih prodajom emisijskih jedinica stakleničkih plinova putem dražbi u 2019. i 2020. godini</w:t>
      </w:r>
      <w:bookmarkEnd w:id="3"/>
    </w:p>
    <w:p w14:paraId="30044993" w14:textId="72F24FFC" w:rsidR="00A709FD" w:rsidRPr="00DD1154" w:rsidRDefault="00A709FD" w:rsidP="008D4D94">
      <w:pPr>
        <w:pStyle w:val="Heading2"/>
        <w:rPr>
          <w:rFonts w:ascii="Times New Roman" w:hAnsi="Times New Roman" w:cs="Times New Roman"/>
          <w:sz w:val="24"/>
          <w:szCs w:val="24"/>
        </w:rPr>
      </w:pPr>
      <w:bookmarkStart w:id="5" w:name="_Toc89261069"/>
      <w:r w:rsidRPr="00DD1154">
        <w:rPr>
          <w:rFonts w:ascii="Times New Roman" w:hAnsi="Times New Roman" w:cs="Times New Roman"/>
          <w:sz w:val="24"/>
          <w:szCs w:val="24"/>
        </w:rPr>
        <w:t>Mjere korištenja obnovljivih izvora energije (OI)</w:t>
      </w:r>
      <w:bookmarkEnd w:id="5"/>
    </w:p>
    <w:p w14:paraId="02B68F16" w14:textId="6CA3B318" w:rsidR="00A22A1A" w:rsidRPr="00DD1154" w:rsidRDefault="00A22A1A" w:rsidP="00E6755E">
      <w:pPr>
        <w:spacing w:before="120" w:after="60"/>
      </w:pPr>
      <w:r w:rsidRPr="00DD1154">
        <w:t xml:space="preserve">Nacionalni ciljevi u pogledu povećanja udjela obnovljivih izvora energije do 2020. godine, postavljeni Strategijom energetskog razvoja Republike Hrvatske te detaljnije razrađeni Nacionalnim akcijskim planom za obnovljive izvore energije do 2020. godine, zahtijevaju postizanje udjela od 20% obnovljivih izvora energije u ukupnoj finalnoj potrošnji energije u 2020. godini, koji se treba ostvariti uz </w:t>
      </w:r>
      <w:r w:rsidR="0072171D" w:rsidRPr="00DD1154">
        <w:t xml:space="preserve">korištenje </w:t>
      </w:r>
      <w:r w:rsidRPr="00DD1154">
        <w:t>39% obnovljivih izvora energije u proizvodnji električne energije (uključujući velike hidroelektrane), 10% obnovljivih izvora energije u prometu i 19,6% obnovljivih izvora energije za grijanje i hlađenje.</w:t>
      </w:r>
    </w:p>
    <w:p w14:paraId="309BFBFC" w14:textId="4E8CF2C1" w:rsidR="00A22A1A" w:rsidRPr="00DD1154" w:rsidRDefault="00A22A1A" w:rsidP="00E6755E">
      <w:pPr>
        <w:spacing w:before="60" w:after="60"/>
      </w:pPr>
      <w:r w:rsidRPr="00DD1154">
        <w:t xml:space="preserve">Sukladno prioritetnoj mjeri korištenja obnovljivih izvora energije iz Plana, </w:t>
      </w:r>
      <w:r w:rsidRPr="00DD1154">
        <w:rPr>
          <w:u w:val="single"/>
        </w:rPr>
        <w:t xml:space="preserve">Fond je u </w:t>
      </w:r>
      <w:r w:rsidR="00C30297" w:rsidRPr="00DD1154">
        <w:rPr>
          <w:u w:val="single"/>
        </w:rPr>
        <w:t xml:space="preserve">2019. i </w:t>
      </w:r>
      <w:r w:rsidRPr="00DD1154">
        <w:rPr>
          <w:u w:val="single"/>
        </w:rPr>
        <w:t xml:space="preserve">2020. godini </w:t>
      </w:r>
      <w:r w:rsidRPr="00DD1154">
        <w:rPr>
          <w:lang w:eastAsia="hr-HR"/>
        </w:rPr>
        <w:t>poticao primjenu mrežnih i autonomnih fotonaponskih sustava manje priključne snage, sunčeve toplinske kolektore, kotlove na krutu biomasu i dizalice topline te</w:t>
      </w:r>
      <w:r w:rsidR="00C30297" w:rsidRPr="00DD1154">
        <w:rPr>
          <w:lang w:eastAsia="hr-HR"/>
        </w:rPr>
        <w:t xml:space="preserve"> je</w:t>
      </w:r>
      <w:r w:rsidRPr="00DD1154">
        <w:rPr>
          <w:lang w:eastAsia="hr-HR"/>
        </w:rPr>
        <w:t xml:space="preserve"> isplatio sredstva u iznosu </w:t>
      </w:r>
      <w:r w:rsidRPr="00DD1154">
        <w:rPr>
          <w:b/>
          <w:lang w:eastAsia="hr-HR"/>
        </w:rPr>
        <w:t xml:space="preserve">od </w:t>
      </w:r>
      <w:r w:rsidR="00C30297" w:rsidRPr="00DD1154">
        <w:rPr>
          <w:rFonts w:eastAsia="Times New Roman"/>
          <w:b/>
          <w:color w:val="000000"/>
          <w:lang w:eastAsia="hr-HR"/>
        </w:rPr>
        <w:t>33.355.734,20</w:t>
      </w:r>
      <w:r w:rsidRPr="00DD1154">
        <w:rPr>
          <w:rFonts w:eastAsia="Times New Roman"/>
          <w:b/>
          <w:color w:val="000000"/>
          <w:lang w:eastAsia="hr-HR"/>
        </w:rPr>
        <w:t xml:space="preserve"> </w:t>
      </w:r>
      <w:r w:rsidR="00BD7FA7" w:rsidRPr="00DD1154">
        <w:rPr>
          <w:rFonts w:eastAsia="Times New Roman"/>
          <w:b/>
          <w:color w:val="000000"/>
          <w:lang w:eastAsia="hr-HR"/>
        </w:rPr>
        <w:t>kn</w:t>
      </w:r>
      <w:r w:rsidRPr="00DD1154">
        <w:rPr>
          <w:rFonts w:eastAsia="Times New Roman"/>
          <w:color w:val="000000"/>
          <w:lang w:eastAsia="hr-HR"/>
        </w:rPr>
        <w:t xml:space="preserve"> za ukupno </w:t>
      </w:r>
      <w:r w:rsidR="0058623B" w:rsidRPr="00DD1154">
        <w:rPr>
          <w:rFonts w:eastAsia="Times New Roman"/>
          <w:b/>
          <w:color w:val="000000"/>
          <w:lang w:eastAsia="hr-HR"/>
        </w:rPr>
        <w:t>767</w:t>
      </w:r>
      <w:r w:rsidRPr="00DD1154">
        <w:rPr>
          <w:rFonts w:eastAsia="Times New Roman"/>
          <w:color w:val="000000"/>
          <w:lang w:eastAsia="hr-HR"/>
        </w:rPr>
        <w:t xml:space="preserve"> projekata korištenja obnovljivih izvora energije.</w:t>
      </w:r>
    </w:p>
    <w:p w14:paraId="6B1EC6D7" w14:textId="77777777" w:rsidR="00A22A1A" w:rsidRPr="00DD1154" w:rsidRDefault="00A22A1A" w:rsidP="008D4D94">
      <w:pPr>
        <w:spacing w:before="60" w:after="60"/>
        <w:ind w:firstLine="567"/>
      </w:pPr>
      <w:r w:rsidRPr="00DD1154">
        <w:t>Riječ je o projektima gdje su korisnici bili:</w:t>
      </w:r>
    </w:p>
    <w:p w14:paraId="16BF2436" w14:textId="77777777" w:rsidR="00A22A1A" w:rsidRPr="00DD1154" w:rsidRDefault="00A22A1A" w:rsidP="008D4D94">
      <w:pPr>
        <w:pStyle w:val="ListParagraph"/>
        <w:numPr>
          <w:ilvl w:val="0"/>
          <w:numId w:val="7"/>
        </w:numPr>
        <w:spacing w:before="60" w:after="60"/>
      </w:pPr>
      <w:r w:rsidRPr="00DD1154">
        <w:t>fizičke osobe (građani) – registrirani iznajmljivači i obiteljska poljoprivredna gospodarstva registrirana za pružanje ugostiteljskih usluga kojima su sredstva odobrena za:</w:t>
      </w:r>
    </w:p>
    <w:p w14:paraId="3DDCFA11" w14:textId="77777777" w:rsidR="00A22A1A" w:rsidRPr="00DD1154" w:rsidRDefault="00A22A1A" w:rsidP="008D4D94">
      <w:pPr>
        <w:pStyle w:val="ListParagraph"/>
        <w:numPr>
          <w:ilvl w:val="1"/>
          <w:numId w:val="7"/>
        </w:numPr>
        <w:spacing w:before="60" w:after="60"/>
      </w:pPr>
      <w:r w:rsidRPr="00DD1154">
        <w:t xml:space="preserve"> postavljanje jedne nove fotonaponske elektrane za proizvodnju električne energije za vlastite potrebe, u samostalnom ili mrežnom radu</w:t>
      </w:r>
    </w:p>
    <w:p w14:paraId="61723ED5" w14:textId="4977BC39" w:rsidR="00A22A1A" w:rsidRPr="00DD1154" w:rsidRDefault="00A22A1A" w:rsidP="008D4D94">
      <w:pPr>
        <w:pStyle w:val="ListParagraph"/>
        <w:numPr>
          <w:ilvl w:val="2"/>
          <w:numId w:val="7"/>
        </w:numPr>
        <w:spacing w:before="60" w:after="60"/>
      </w:pPr>
      <w:r w:rsidRPr="00DD1154">
        <w:t xml:space="preserve">ukupno je isplaćeno </w:t>
      </w:r>
      <w:r w:rsidRPr="00DD1154">
        <w:rPr>
          <w:b/>
          <w:bCs/>
        </w:rPr>
        <w:t xml:space="preserve">2.137.271,89 </w:t>
      </w:r>
      <w:r w:rsidR="00BD7FA7" w:rsidRPr="00DD1154">
        <w:rPr>
          <w:b/>
          <w:bCs/>
        </w:rPr>
        <w:t>kn</w:t>
      </w:r>
      <w:r w:rsidRPr="00DD1154">
        <w:t xml:space="preserve"> za </w:t>
      </w:r>
      <w:r w:rsidRPr="00DD1154">
        <w:rPr>
          <w:b/>
          <w:bCs/>
        </w:rPr>
        <w:t>41</w:t>
      </w:r>
      <w:r w:rsidRPr="00DD1154">
        <w:t xml:space="preserve"> projekt</w:t>
      </w:r>
    </w:p>
    <w:p w14:paraId="76E1575A" w14:textId="77777777" w:rsidR="00A22A1A" w:rsidRPr="00DD1154" w:rsidRDefault="00A22A1A" w:rsidP="008D4D94">
      <w:pPr>
        <w:pStyle w:val="ListParagraph"/>
        <w:numPr>
          <w:ilvl w:val="0"/>
          <w:numId w:val="7"/>
        </w:numPr>
        <w:spacing w:before="60" w:after="60"/>
      </w:pPr>
      <w:r w:rsidRPr="00DD1154">
        <w:t>fizičke osobe (građani) kojima su sredstva odobrena za postavljanje jednog ili više novih sustava za korištenje obnovljivih izvora energije:</w:t>
      </w:r>
    </w:p>
    <w:p w14:paraId="3DE12011" w14:textId="77777777" w:rsidR="00A22A1A" w:rsidRPr="00DD1154" w:rsidRDefault="00A22A1A" w:rsidP="008D4D94">
      <w:pPr>
        <w:pStyle w:val="ListParagraph"/>
        <w:numPr>
          <w:ilvl w:val="1"/>
          <w:numId w:val="7"/>
        </w:numPr>
        <w:spacing w:before="60" w:after="60"/>
      </w:pPr>
      <w:r w:rsidRPr="00DD1154">
        <w:t>s kotlom na drvnu sječku/pelete ili s pirolitičkim kotlom na drva za grijanje prostora ili prostora i potrošne vode u postojeće obiteljske kuće</w:t>
      </w:r>
    </w:p>
    <w:p w14:paraId="0097F622" w14:textId="77777777" w:rsidR="00A22A1A" w:rsidRPr="00DD1154" w:rsidRDefault="00A22A1A" w:rsidP="008D4D94">
      <w:pPr>
        <w:pStyle w:val="ListParagraph"/>
        <w:numPr>
          <w:ilvl w:val="1"/>
          <w:numId w:val="7"/>
        </w:numPr>
        <w:spacing w:before="60" w:after="60"/>
      </w:pPr>
      <w:r w:rsidRPr="00DD1154">
        <w:t>s dizalicom topline za grijanje potrošne vode i/ili za grijanje prostora ili za grijanje i hlađenje prostora u postojeće obiteljske kuće</w:t>
      </w:r>
    </w:p>
    <w:p w14:paraId="484E8932" w14:textId="41707217" w:rsidR="00A22A1A" w:rsidRPr="00DD1154" w:rsidRDefault="00A22A1A" w:rsidP="00DD1154">
      <w:pPr>
        <w:pStyle w:val="ListParagraph"/>
        <w:numPr>
          <w:ilvl w:val="1"/>
          <w:numId w:val="7"/>
        </w:numPr>
        <w:spacing w:before="60" w:after="60"/>
        <w:rPr>
          <w:i/>
          <w:iCs/>
        </w:rPr>
      </w:pPr>
      <w:r w:rsidRPr="00DD1154">
        <w:t>sa sunčanim toplinskim pretvaračima za grijanje potrošne vode ili za grijanje potrošne vode i prostora na postojeće obiteljske kuće</w:t>
      </w:r>
      <w:r w:rsidR="00485B28" w:rsidRPr="00DD1154">
        <w:t xml:space="preserve"> te</w:t>
      </w:r>
    </w:p>
    <w:p w14:paraId="07F21A29" w14:textId="77777777" w:rsidR="00A22A1A" w:rsidRPr="00DD1154" w:rsidRDefault="00A22A1A" w:rsidP="008D4D94">
      <w:pPr>
        <w:pStyle w:val="ListParagraph"/>
        <w:numPr>
          <w:ilvl w:val="1"/>
          <w:numId w:val="7"/>
        </w:numPr>
        <w:spacing w:before="60" w:after="60"/>
      </w:pPr>
      <w:r w:rsidRPr="00DD1154">
        <w:t>za postavljanje jedne nove fotonaponske elektrane za proizvodnju električne energije za vlastite potrebe, u samostalnom ili mrežnom radu na postojeće obiteljske kuće</w:t>
      </w:r>
    </w:p>
    <w:p w14:paraId="6DE245F2" w14:textId="6D7DC4D1" w:rsidR="00A22A1A" w:rsidRPr="00DD1154" w:rsidRDefault="00A22A1A" w:rsidP="008D4D94">
      <w:pPr>
        <w:pStyle w:val="ListParagraph"/>
        <w:numPr>
          <w:ilvl w:val="2"/>
          <w:numId w:val="7"/>
        </w:numPr>
        <w:spacing w:before="60" w:after="60"/>
      </w:pPr>
      <w:r w:rsidRPr="00DD1154">
        <w:t xml:space="preserve">ukupno je isplaćeno </w:t>
      </w:r>
      <w:r w:rsidR="00F063B1" w:rsidRPr="00DD1154">
        <w:rPr>
          <w:b/>
          <w:bCs/>
        </w:rPr>
        <w:t>30.779.225,59</w:t>
      </w:r>
      <w:r w:rsidRPr="00DD1154">
        <w:t xml:space="preserve"> </w:t>
      </w:r>
      <w:r w:rsidR="00485B28" w:rsidRPr="00DD1154">
        <w:rPr>
          <w:b/>
          <w:bCs/>
        </w:rPr>
        <w:t>kn</w:t>
      </w:r>
      <w:r w:rsidRPr="00DD1154">
        <w:t xml:space="preserve"> za </w:t>
      </w:r>
      <w:r w:rsidR="00F063B1" w:rsidRPr="00DD1154">
        <w:rPr>
          <w:b/>
          <w:bCs/>
        </w:rPr>
        <w:t>724</w:t>
      </w:r>
      <w:r w:rsidR="00F063B1" w:rsidRPr="00DD1154">
        <w:t xml:space="preserve"> projek</w:t>
      </w:r>
      <w:r w:rsidRPr="00DD1154">
        <w:t>ta</w:t>
      </w:r>
      <w:r w:rsidR="00E50834" w:rsidRPr="00DD1154">
        <w:t xml:space="preserve"> </w:t>
      </w:r>
    </w:p>
    <w:p w14:paraId="1CA257D1" w14:textId="619DB280" w:rsidR="00A22A1A" w:rsidRPr="00DD1154" w:rsidRDefault="00A22A1A" w:rsidP="008D4D94">
      <w:pPr>
        <w:pStyle w:val="ListParagraph"/>
        <w:numPr>
          <w:ilvl w:val="0"/>
          <w:numId w:val="7"/>
        </w:numPr>
        <w:spacing w:before="60" w:after="60"/>
      </w:pPr>
      <w:r w:rsidRPr="00DD1154">
        <w:t>javne ustanove koje su proračunski korisnici državnog ili JLP(R)S proračuna</w:t>
      </w:r>
      <w:r w:rsidR="00E50834" w:rsidRPr="00DD1154">
        <w:t xml:space="preserve"> (Osnovna škola Tužno i Osnovna škola Lipik)</w:t>
      </w:r>
      <w:r w:rsidRPr="00DD1154">
        <w:t>, a kojima su sredstva odobrena za ugradnju jednog ili više novih sustava za korištenje obnovljivih izvora energije:</w:t>
      </w:r>
    </w:p>
    <w:p w14:paraId="1B0FACFE" w14:textId="77777777" w:rsidR="00A22A1A" w:rsidRPr="00DD1154" w:rsidRDefault="00A22A1A" w:rsidP="008D4D94">
      <w:pPr>
        <w:pStyle w:val="ListParagraph"/>
        <w:numPr>
          <w:ilvl w:val="1"/>
          <w:numId w:val="7"/>
        </w:numPr>
        <w:spacing w:before="60" w:after="60"/>
      </w:pPr>
      <w:r w:rsidRPr="00DD1154">
        <w:t>s kotlom na drvnu sječku/pelete ili s pirolitičkim kotlom na drva za grijanje prostora ili prostora i potrošne vode</w:t>
      </w:r>
    </w:p>
    <w:p w14:paraId="436C4B5D" w14:textId="77777777" w:rsidR="00A22A1A" w:rsidRPr="00DD1154" w:rsidRDefault="00A22A1A" w:rsidP="008D4D94">
      <w:pPr>
        <w:pStyle w:val="ListParagraph"/>
        <w:numPr>
          <w:ilvl w:val="1"/>
          <w:numId w:val="7"/>
        </w:numPr>
        <w:spacing w:before="60" w:after="60"/>
      </w:pPr>
      <w:r w:rsidRPr="00DD1154">
        <w:t>s dizalicom topline za grijanje potrošne vode i/ili prostora ili za grijanje i hlađenje</w:t>
      </w:r>
    </w:p>
    <w:p w14:paraId="2C940661" w14:textId="77777777" w:rsidR="00A22A1A" w:rsidRPr="00DD1154" w:rsidRDefault="00A22A1A" w:rsidP="008D4D94">
      <w:pPr>
        <w:pStyle w:val="ListParagraph"/>
        <w:numPr>
          <w:ilvl w:val="1"/>
          <w:numId w:val="7"/>
        </w:numPr>
        <w:spacing w:before="60" w:after="60"/>
      </w:pPr>
      <w:r w:rsidRPr="00DD1154">
        <w:t>sa sunčanim toplinskim pretvaračima za grijanje potrošne vode ili za grijanje potrošne vode i prostora</w:t>
      </w:r>
    </w:p>
    <w:p w14:paraId="45C577AD" w14:textId="77777777" w:rsidR="00A22A1A" w:rsidRPr="00DD1154" w:rsidRDefault="00A22A1A" w:rsidP="008D4D94">
      <w:pPr>
        <w:pStyle w:val="ListParagraph"/>
        <w:numPr>
          <w:ilvl w:val="1"/>
          <w:numId w:val="7"/>
        </w:numPr>
        <w:spacing w:before="60" w:after="60"/>
      </w:pPr>
      <w:r w:rsidRPr="00DD1154">
        <w:lastRenderedPageBreak/>
        <w:t>s fotonaponskim pretvaračima (modulima) za proizvodnju električne energije za vlastite potrebe u samostalnom ili mrežnom radu</w:t>
      </w:r>
    </w:p>
    <w:p w14:paraId="438D09C7" w14:textId="33D1E79B" w:rsidR="00A22A1A" w:rsidRPr="00DD1154" w:rsidRDefault="00A22A1A" w:rsidP="008D4D94">
      <w:pPr>
        <w:pStyle w:val="ListParagraph"/>
        <w:numPr>
          <w:ilvl w:val="2"/>
          <w:numId w:val="7"/>
        </w:numPr>
        <w:spacing w:before="60" w:after="60"/>
      </w:pPr>
      <w:r w:rsidRPr="00DD1154">
        <w:t xml:space="preserve">ukupno je isplaćeno </w:t>
      </w:r>
      <w:r w:rsidRPr="00DD1154">
        <w:rPr>
          <w:b/>
          <w:bCs/>
        </w:rPr>
        <w:t xml:space="preserve">439.236,72 </w:t>
      </w:r>
      <w:r w:rsidR="006C04A7" w:rsidRPr="00DD1154">
        <w:rPr>
          <w:b/>
          <w:bCs/>
        </w:rPr>
        <w:t>kn</w:t>
      </w:r>
      <w:r w:rsidRPr="00DD1154">
        <w:t xml:space="preserve"> za </w:t>
      </w:r>
      <w:r w:rsidRPr="00DD1154">
        <w:rPr>
          <w:b/>
          <w:bCs/>
        </w:rPr>
        <w:t>2</w:t>
      </w:r>
      <w:r w:rsidRPr="00DD1154">
        <w:t xml:space="preserve"> projekta</w:t>
      </w:r>
    </w:p>
    <w:p w14:paraId="7E6479BD" w14:textId="6FD181B7" w:rsidR="00A709FD" w:rsidRPr="00DD1154" w:rsidRDefault="00A709FD" w:rsidP="008D4D94">
      <w:pPr>
        <w:spacing w:after="0"/>
        <w:rPr>
          <w:highlight w:val="yellow"/>
        </w:rPr>
      </w:pPr>
    </w:p>
    <w:p w14:paraId="6F9F45D6" w14:textId="77777777" w:rsidR="00A709FD" w:rsidRPr="00DD1154" w:rsidRDefault="00A709FD" w:rsidP="008D4D94">
      <w:pPr>
        <w:spacing w:after="0"/>
        <w:rPr>
          <w:highlight w:val="yellow"/>
        </w:rPr>
      </w:pPr>
    </w:p>
    <w:p w14:paraId="4C471E73" w14:textId="77777777" w:rsidR="00A709FD" w:rsidRPr="00DD1154" w:rsidRDefault="00A709FD" w:rsidP="008D4D94">
      <w:pPr>
        <w:spacing w:after="0"/>
        <w:rPr>
          <w:highlight w:val="yellow"/>
        </w:rPr>
        <w:sectPr w:rsidR="00A709FD" w:rsidRPr="00DD1154" w:rsidSect="00F2340D">
          <w:pgSz w:w="11906" w:h="16838"/>
          <w:pgMar w:top="1417" w:right="1274" w:bottom="1276" w:left="1417" w:header="708" w:footer="708" w:gutter="0"/>
          <w:cols w:space="708"/>
          <w:docGrid w:linePitch="360"/>
        </w:sectPr>
      </w:pPr>
    </w:p>
    <w:p w14:paraId="328BB550" w14:textId="77EF520D" w:rsidR="00A709FD" w:rsidRPr="00DD1154" w:rsidRDefault="00A709FD" w:rsidP="008D4D94">
      <w:pPr>
        <w:pStyle w:val="Heading2"/>
        <w:rPr>
          <w:rFonts w:ascii="Times New Roman" w:hAnsi="Times New Roman" w:cs="Times New Roman"/>
          <w:sz w:val="24"/>
          <w:szCs w:val="24"/>
        </w:rPr>
      </w:pPr>
      <w:bookmarkStart w:id="6" w:name="_Toc89261070"/>
      <w:r w:rsidRPr="00DD1154">
        <w:rPr>
          <w:rFonts w:ascii="Times New Roman" w:hAnsi="Times New Roman" w:cs="Times New Roman"/>
          <w:sz w:val="24"/>
          <w:szCs w:val="24"/>
        </w:rPr>
        <w:lastRenderedPageBreak/>
        <w:t>Povećanje energetske učinkovitosti (ENU)</w:t>
      </w:r>
      <w:bookmarkEnd w:id="6"/>
    </w:p>
    <w:p w14:paraId="19CBEF55" w14:textId="77777777" w:rsidR="001C7C0E" w:rsidRPr="00DD1154" w:rsidRDefault="001C7C0E" w:rsidP="00C853C4">
      <w:pPr>
        <w:spacing w:before="60" w:after="60"/>
      </w:pPr>
      <w:r w:rsidRPr="00DD1154">
        <w:t xml:space="preserve">Energetska učinkovitost najdjelotvorniji je način postizanja ciljeva održivog razvoja, s obzirom da veća učinkovitost doprinosi smanjenju emisija štetnih plinova u okoliš, većoj industrijskoj konkurentnosti, otvaranju novih radnih mjesta i povećanju sigurnosti opskrbe energijom. Upravo je zbog toga EnU okosnica jedinstvene energetske politike Europske unije (EU). </w:t>
      </w:r>
    </w:p>
    <w:p w14:paraId="3FA95171" w14:textId="27D64E7C" w:rsidR="001C7C0E" w:rsidRPr="00DD1154" w:rsidRDefault="001C7C0E" w:rsidP="008D4D94">
      <w:pPr>
        <w:spacing w:before="60" w:after="60"/>
        <w:ind w:firstLine="567"/>
        <w:rPr>
          <w:lang w:eastAsia="hr-HR"/>
        </w:rPr>
      </w:pPr>
      <w:r w:rsidRPr="00DD1154">
        <w:t xml:space="preserve">Sukladno prioritetnoj mjeri za povećanje energetske učinkovitosti iz Plana, Fond je u </w:t>
      </w:r>
      <w:r w:rsidR="000F4176" w:rsidRPr="00DD1154">
        <w:t xml:space="preserve">2019. i </w:t>
      </w:r>
      <w:r w:rsidRPr="00DD1154">
        <w:t xml:space="preserve">2020. godini </w:t>
      </w:r>
      <w:r w:rsidRPr="00DD1154">
        <w:rPr>
          <w:lang w:eastAsia="hr-HR"/>
        </w:rPr>
        <w:t>temeljem:</w:t>
      </w:r>
    </w:p>
    <w:p w14:paraId="32A78A93" w14:textId="0AE8B484" w:rsidR="000F4176" w:rsidRPr="00DD1154" w:rsidRDefault="000F4176" w:rsidP="00757F50">
      <w:pPr>
        <w:pStyle w:val="ListParagraph"/>
        <w:numPr>
          <w:ilvl w:val="0"/>
          <w:numId w:val="8"/>
        </w:numPr>
        <w:spacing w:before="60" w:after="60"/>
        <w:rPr>
          <w:lang w:eastAsia="hr-HR"/>
        </w:rPr>
      </w:pPr>
      <w:r w:rsidRPr="00DD1154">
        <w:rPr>
          <w:lang w:eastAsia="hr-HR"/>
        </w:rPr>
        <w:t>Programa energetske obnove zgrada javnog sektora za razdoblje 2014. – 20</w:t>
      </w:r>
      <w:bookmarkStart w:id="7" w:name="_Hlk86230200"/>
      <w:r w:rsidR="001829FB" w:rsidRPr="00DD1154">
        <w:rPr>
          <w:lang w:eastAsia="hr-HR"/>
        </w:rPr>
        <w:t>1</w:t>
      </w:r>
      <w:bookmarkEnd w:id="7"/>
      <w:r w:rsidR="00757F50" w:rsidRPr="00DD1154">
        <w:rPr>
          <w:lang w:eastAsia="hr-HR"/>
        </w:rPr>
        <w:t xml:space="preserve">5. i </w:t>
      </w:r>
      <w:r w:rsidRPr="00DD1154">
        <w:rPr>
          <w:lang w:eastAsia="hr-HR"/>
        </w:rPr>
        <w:t>Programa energetske obnove zgrada javnog sektora 2016. -2020.</w:t>
      </w:r>
      <w:r w:rsidR="00BF0572" w:rsidRPr="00DD1154">
        <w:rPr>
          <w:lang w:eastAsia="hr-HR"/>
        </w:rPr>
        <w:t>,</w:t>
      </w:r>
    </w:p>
    <w:p w14:paraId="5DA6336A" w14:textId="39FE9DAD" w:rsidR="001C7C0E" w:rsidRPr="00DD1154" w:rsidRDefault="001829FB" w:rsidP="001829FB">
      <w:pPr>
        <w:pStyle w:val="ListParagraph"/>
        <w:numPr>
          <w:ilvl w:val="0"/>
          <w:numId w:val="8"/>
        </w:numPr>
        <w:spacing w:before="60" w:after="60"/>
        <w:rPr>
          <w:lang w:eastAsia="hr-HR"/>
        </w:rPr>
      </w:pPr>
      <w:r w:rsidRPr="00DD1154">
        <w:rPr>
          <w:lang w:eastAsia="hr-HR"/>
        </w:rPr>
        <w:t xml:space="preserve">Programa energetske obnove obiteljskih kuća za razdoblje od 2014. – 2020. (Narodne novine, broj: 43/14, 36/15, 57/20) i Izmjena i dopuna </w:t>
      </w:r>
      <w:bookmarkStart w:id="8" w:name="_Hlk86230233"/>
      <w:r w:rsidRPr="00DD1154">
        <w:rPr>
          <w:lang w:eastAsia="hr-HR"/>
        </w:rPr>
        <w:t xml:space="preserve">Programa energetske obnove obiteljskih kuća za razdoblje od 2014. – 2020. </w:t>
      </w:r>
      <w:bookmarkEnd w:id="8"/>
      <w:r w:rsidRPr="00DD1154">
        <w:rPr>
          <w:lang w:eastAsia="hr-HR"/>
        </w:rPr>
        <w:t>(Narodne novine, broj: 57/2020) koje je donijela Vlada RH,</w:t>
      </w:r>
    </w:p>
    <w:p w14:paraId="4C0F61C4" w14:textId="7B9F8645" w:rsidR="001C7C0E" w:rsidRPr="00DD1154" w:rsidRDefault="001C7C0E" w:rsidP="008D4D94">
      <w:pPr>
        <w:pStyle w:val="ListParagraph"/>
        <w:numPr>
          <w:ilvl w:val="0"/>
          <w:numId w:val="8"/>
        </w:numPr>
        <w:spacing w:before="60" w:after="60"/>
        <w:rPr>
          <w:lang w:eastAsia="hr-HR"/>
        </w:rPr>
      </w:pPr>
      <w:r w:rsidRPr="00DD1154">
        <w:rPr>
          <w:lang w:eastAsia="hr-HR"/>
        </w:rPr>
        <w:t>Odluke o osiguranju novčane pomoći za privremenu i nužnu zaštitu i popravak zgrada oštećenih potresom na području Grada Zagreba i okolice (Narodne novine</w:t>
      </w:r>
      <w:r w:rsidR="00757F50" w:rsidRPr="00DD1154">
        <w:rPr>
          <w:lang w:eastAsia="hr-HR"/>
        </w:rPr>
        <w:t>, broj:</w:t>
      </w:r>
      <w:r w:rsidRPr="00DD1154">
        <w:rPr>
          <w:lang w:eastAsia="hr-HR"/>
        </w:rPr>
        <w:t xml:space="preserve"> 55/2020) koju je donijela Vlada RH</w:t>
      </w:r>
      <w:r w:rsidR="00BF0572" w:rsidRPr="00DD1154">
        <w:rPr>
          <w:lang w:eastAsia="hr-HR"/>
        </w:rPr>
        <w:t>.</w:t>
      </w:r>
    </w:p>
    <w:p w14:paraId="05268A80" w14:textId="3F6EFA5C" w:rsidR="001C7C0E" w:rsidRPr="00DD1154" w:rsidRDefault="001C7C0E" w:rsidP="008D4D94">
      <w:pPr>
        <w:spacing w:before="60" w:after="60"/>
        <w:rPr>
          <w:lang w:eastAsia="hr-HR"/>
        </w:rPr>
      </w:pPr>
      <w:r w:rsidRPr="00DD1154">
        <w:rPr>
          <w:lang w:eastAsia="hr-HR"/>
        </w:rPr>
        <w:t>provodio</w:t>
      </w:r>
      <w:r w:rsidRPr="00DD1154">
        <w:t xml:space="preserve"> </w:t>
      </w:r>
      <w:r w:rsidRPr="00DD1154">
        <w:rPr>
          <w:lang w:eastAsia="hr-HR"/>
        </w:rPr>
        <w:t xml:space="preserve">mjere energetske obnove u </w:t>
      </w:r>
      <w:r w:rsidR="000F4176" w:rsidRPr="00DD1154">
        <w:rPr>
          <w:lang w:eastAsia="hr-HR"/>
        </w:rPr>
        <w:t xml:space="preserve">zgradama javnog sektora, </w:t>
      </w:r>
      <w:r w:rsidRPr="00DD1154">
        <w:rPr>
          <w:lang w:eastAsia="hr-HR"/>
        </w:rPr>
        <w:t>postojećim obiteljskim kućama i poticao nabavu kondenzacijskih bojlera. Ujedno se poticala i integracija tehnoloških rješenja za razvoj infrastrukture gradova i općina (primjena koncepta „pametnih gradova i općina“).</w:t>
      </w:r>
    </w:p>
    <w:p w14:paraId="329C125D" w14:textId="4DEDB457" w:rsidR="001C7C0E" w:rsidRPr="00DD1154" w:rsidRDefault="000F4176" w:rsidP="008D4D94">
      <w:pPr>
        <w:spacing w:before="60" w:after="60"/>
        <w:ind w:firstLine="567"/>
        <w:rPr>
          <w:rFonts w:eastAsia="Times New Roman"/>
          <w:lang w:eastAsia="hr-HR"/>
        </w:rPr>
      </w:pPr>
      <w:r w:rsidRPr="00DD1154">
        <w:rPr>
          <w:u w:val="single"/>
          <w:lang w:eastAsia="hr-HR"/>
        </w:rPr>
        <w:t>U 2019. i 2020. godini</w:t>
      </w:r>
      <w:r w:rsidRPr="00DD1154">
        <w:rPr>
          <w:lang w:eastAsia="hr-HR"/>
        </w:rPr>
        <w:t xml:space="preserve"> ukupno su i</w:t>
      </w:r>
      <w:r w:rsidR="001C7C0E" w:rsidRPr="00DD1154">
        <w:rPr>
          <w:lang w:eastAsia="hr-HR"/>
        </w:rPr>
        <w:t xml:space="preserve">splaćena sredstva u iznosu </w:t>
      </w:r>
      <w:r w:rsidR="001C7C0E" w:rsidRPr="00DD1154">
        <w:rPr>
          <w:bCs/>
          <w:lang w:eastAsia="hr-HR"/>
        </w:rPr>
        <w:t xml:space="preserve">od </w:t>
      </w:r>
      <w:r w:rsidR="00A838BB" w:rsidRPr="00DD1154">
        <w:rPr>
          <w:rFonts w:eastAsia="Times New Roman"/>
          <w:bCs/>
          <w:lang w:eastAsia="hr-HR"/>
        </w:rPr>
        <w:t>73.3</w:t>
      </w:r>
      <w:r w:rsidR="00BE4C8E" w:rsidRPr="00DD1154">
        <w:rPr>
          <w:rFonts w:eastAsia="Times New Roman"/>
          <w:bCs/>
          <w:lang w:eastAsia="hr-HR"/>
        </w:rPr>
        <w:t>43.864,61</w:t>
      </w:r>
      <w:r w:rsidR="008E39CF" w:rsidRPr="00DD1154">
        <w:rPr>
          <w:rFonts w:eastAsia="Times New Roman"/>
          <w:bCs/>
          <w:lang w:eastAsia="hr-HR"/>
        </w:rPr>
        <w:t xml:space="preserve"> </w:t>
      </w:r>
      <w:r w:rsidR="006C04A7" w:rsidRPr="00DD1154">
        <w:rPr>
          <w:rFonts w:eastAsia="Times New Roman"/>
          <w:bCs/>
          <w:lang w:eastAsia="hr-HR"/>
        </w:rPr>
        <w:t>kn</w:t>
      </w:r>
      <w:r w:rsidR="001C7C0E" w:rsidRPr="00DD1154">
        <w:rPr>
          <w:rFonts w:eastAsia="Times New Roman"/>
          <w:lang w:eastAsia="hr-HR"/>
        </w:rPr>
        <w:t xml:space="preserve"> za ukupno 17</w:t>
      </w:r>
      <w:r w:rsidR="00BE4C8E" w:rsidRPr="00DD1154">
        <w:rPr>
          <w:rFonts w:eastAsia="Times New Roman"/>
          <w:lang w:eastAsia="hr-HR"/>
        </w:rPr>
        <w:t>28</w:t>
      </w:r>
      <w:r w:rsidR="001C7C0E" w:rsidRPr="00DD1154">
        <w:rPr>
          <w:rFonts w:eastAsia="Times New Roman"/>
          <w:lang w:eastAsia="hr-HR"/>
        </w:rPr>
        <w:t xml:space="preserve"> projekta pov</w:t>
      </w:r>
      <w:r w:rsidR="00CD4E9C" w:rsidRPr="00DD1154">
        <w:rPr>
          <w:rFonts w:eastAsia="Times New Roman"/>
          <w:lang w:eastAsia="hr-HR"/>
        </w:rPr>
        <w:t xml:space="preserve">ećanja energetske učinkovitosti, odnosno iznos od </w:t>
      </w:r>
      <w:r w:rsidRPr="00DD1154">
        <w:rPr>
          <w:rFonts w:eastAsia="Times New Roman"/>
          <w:b/>
          <w:lang w:eastAsia="hr-HR"/>
        </w:rPr>
        <w:t>299.</w:t>
      </w:r>
      <w:r w:rsidR="00BE4C8E" w:rsidRPr="00DD1154">
        <w:rPr>
          <w:rFonts w:eastAsia="Times New Roman"/>
          <w:b/>
          <w:lang w:eastAsia="hr-HR"/>
        </w:rPr>
        <w:t>843.864,</w:t>
      </w:r>
      <w:r w:rsidR="00A34AF9" w:rsidRPr="00DD1154">
        <w:rPr>
          <w:rFonts w:eastAsia="Times New Roman"/>
          <w:b/>
          <w:lang w:eastAsia="hr-HR"/>
        </w:rPr>
        <w:t>6</w:t>
      </w:r>
      <w:r w:rsidR="00A34AF9">
        <w:rPr>
          <w:rFonts w:eastAsia="Times New Roman"/>
          <w:b/>
          <w:lang w:eastAsia="hr-HR"/>
        </w:rPr>
        <w:t>3</w:t>
      </w:r>
      <w:r w:rsidR="00A34AF9" w:rsidRPr="00DD1154">
        <w:rPr>
          <w:rFonts w:eastAsia="Times New Roman"/>
          <w:b/>
          <w:lang w:eastAsia="hr-HR"/>
        </w:rPr>
        <w:t xml:space="preserve"> </w:t>
      </w:r>
      <w:r w:rsidR="006C04A7" w:rsidRPr="00DD1154">
        <w:rPr>
          <w:rFonts w:eastAsia="Times New Roman"/>
          <w:b/>
          <w:lang w:eastAsia="hr-HR"/>
        </w:rPr>
        <w:t>kn</w:t>
      </w:r>
      <w:r w:rsidR="00CD4E9C" w:rsidRPr="00DD1154">
        <w:rPr>
          <w:rFonts w:eastAsia="Times New Roman"/>
          <w:b/>
          <w:lang w:eastAsia="hr-HR"/>
        </w:rPr>
        <w:t xml:space="preserve"> za ukupno 17</w:t>
      </w:r>
      <w:r w:rsidR="00BE4C8E" w:rsidRPr="00DD1154">
        <w:rPr>
          <w:rFonts w:eastAsia="Times New Roman"/>
          <w:b/>
          <w:lang w:eastAsia="hr-HR"/>
        </w:rPr>
        <w:t xml:space="preserve">29 </w:t>
      </w:r>
      <w:r w:rsidR="00CD4E9C" w:rsidRPr="00DD1154">
        <w:rPr>
          <w:rFonts w:eastAsia="Times New Roman"/>
          <w:b/>
          <w:lang w:eastAsia="hr-HR"/>
        </w:rPr>
        <w:t xml:space="preserve">projekta </w:t>
      </w:r>
      <w:r w:rsidR="00621A12" w:rsidRPr="00DD1154">
        <w:rPr>
          <w:rFonts w:eastAsia="Times New Roman"/>
          <w:lang w:eastAsia="hr-HR"/>
        </w:rPr>
        <w:t>kada se uzme u obzir</w:t>
      </w:r>
      <w:r w:rsidR="00621A12" w:rsidRPr="00DD1154">
        <w:rPr>
          <w:rFonts w:eastAsia="Times New Roman"/>
          <w:b/>
          <w:lang w:eastAsia="hr-HR"/>
        </w:rPr>
        <w:t xml:space="preserve"> </w:t>
      </w:r>
      <w:r w:rsidR="00621A12" w:rsidRPr="00DD1154">
        <w:t>p</w:t>
      </w:r>
      <w:r w:rsidR="00621A12" w:rsidRPr="00DD1154">
        <w:rPr>
          <w:rFonts w:eastAsia="Times New Roman"/>
          <w:lang w:eastAsia="hr-HR"/>
        </w:rPr>
        <w:t xml:space="preserve">odmirenje obveze troška </w:t>
      </w:r>
      <w:r w:rsidR="00621A12" w:rsidRPr="00DD1154">
        <w:t xml:space="preserve">Programa energetske obnove obiteljskih kuća </w:t>
      </w:r>
      <w:r w:rsidR="00621A12" w:rsidRPr="00DD1154">
        <w:rPr>
          <w:lang w:eastAsia="hr-HR"/>
        </w:rPr>
        <w:t>za razdoblje od 2014.-2020.</w:t>
      </w:r>
    </w:p>
    <w:p w14:paraId="287946AA" w14:textId="2463C63E" w:rsidR="001C7C0E" w:rsidRPr="00DD1154" w:rsidRDefault="001C7C0E" w:rsidP="008D4D94">
      <w:pPr>
        <w:spacing w:before="60" w:after="60"/>
        <w:ind w:firstLine="567"/>
        <w:rPr>
          <w:rFonts w:eastAsia="Times New Roman"/>
          <w:color w:val="000000"/>
          <w:lang w:eastAsia="hr-HR"/>
        </w:rPr>
      </w:pPr>
      <w:r w:rsidRPr="00DD1154">
        <w:rPr>
          <w:rFonts w:eastAsia="Times New Roman"/>
          <w:color w:val="000000"/>
          <w:lang w:eastAsia="hr-HR"/>
        </w:rPr>
        <w:t xml:space="preserve">Riječ je </w:t>
      </w:r>
      <w:r w:rsidR="00AE0DCC" w:rsidRPr="00DD1154">
        <w:rPr>
          <w:rFonts w:eastAsia="Times New Roman"/>
          <w:color w:val="000000"/>
          <w:lang w:eastAsia="hr-HR"/>
        </w:rPr>
        <w:t xml:space="preserve">o </w:t>
      </w:r>
      <w:r w:rsidRPr="00DD1154">
        <w:rPr>
          <w:rFonts w:eastAsia="Times New Roman"/>
          <w:color w:val="000000"/>
          <w:lang w:eastAsia="hr-HR"/>
        </w:rPr>
        <w:t>sljedećim projektima:</w:t>
      </w:r>
    </w:p>
    <w:p w14:paraId="43CF67D4" w14:textId="24228601" w:rsidR="000F4176" w:rsidRPr="00DD1154" w:rsidRDefault="000F4176" w:rsidP="000F4176">
      <w:pPr>
        <w:pStyle w:val="ListParagraph"/>
        <w:numPr>
          <w:ilvl w:val="0"/>
          <w:numId w:val="9"/>
        </w:numPr>
        <w:spacing w:before="60" w:after="60"/>
        <w:rPr>
          <w:rFonts w:eastAsia="Times New Roman"/>
          <w:color w:val="000000"/>
          <w:lang w:eastAsia="hr-HR"/>
        </w:rPr>
      </w:pPr>
      <w:r w:rsidRPr="00DD1154">
        <w:rPr>
          <w:rFonts w:eastAsia="Times New Roman"/>
          <w:color w:val="000000"/>
          <w:lang w:eastAsia="hr-HR"/>
        </w:rPr>
        <w:t xml:space="preserve">produžetak financiranja Programa energetske obnove zgrada javnog sektora za razdoblje 2014. – 2015. </w:t>
      </w:r>
      <w:r w:rsidRPr="00DD1154">
        <w:rPr>
          <w:rFonts w:eastAsia="Times New Roman"/>
          <w:lang w:eastAsia="hr-HR"/>
        </w:rPr>
        <w:t>godine</w:t>
      </w:r>
      <w:r w:rsidR="00BE4C8E" w:rsidRPr="00DD1154">
        <w:rPr>
          <w:rFonts w:eastAsia="Times New Roman"/>
          <w:lang w:eastAsia="hr-HR"/>
        </w:rPr>
        <w:t xml:space="preserve"> (1 projekt)</w:t>
      </w:r>
      <w:r w:rsidR="009012C4" w:rsidRPr="00DD1154">
        <w:rPr>
          <w:rFonts w:eastAsia="Times New Roman"/>
          <w:lang w:eastAsia="hr-HR"/>
        </w:rPr>
        <w:t>,</w:t>
      </w:r>
      <w:r w:rsidRPr="00DD1154">
        <w:rPr>
          <w:rFonts w:eastAsia="Times New Roman"/>
          <w:lang w:eastAsia="hr-HR"/>
        </w:rPr>
        <w:t xml:space="preserve"> </w:t>
      </w:r>
      <w:r w:rsidRPr="00DD1154">
        <w:rPr>
          <w:rFonts w:eastAsia="Times New Roman"/>
          <w:color w:val="000000"/>
          <w:lang w:eastAsia="hr-HR"/>
        </w:rPr>
        <w:t xml:space="preserve">isplaćena su sredstva u iznosu od </w:t>
      </w:r>
      <w:r w:rsidRPr="0007011B">
        <w:rPr>
          <w:rFonts w:eastAsia="Times New Roman"/>
          <w:b/>
          <w:color w:val="000000"/>
          <w:lang w:eastAsia="hr-HR"/>
        </w:rPr>
        <w:t>45.833.621,91</w:t>
      </w:r>
      <w:r w:rsidRPr="00DD1154">
        <w:rPr>
          <w:rFonts w:eastAsia="Times New Roman"/>
          <w:color w:val="000000"/>
          <w:lang w:eastAsia="hr-HR"/>
        </w:rPr>
        <w:t xml:space="preserve"> </w:t>
      </w:r>
      <w:r w:rsidR="006C04A7" w:rsidRPr="00DD1154">
        <w:rPr>
          <w:rFonts w:eastAsia="Times New Roman"/>
          <w:color w:val="000000"/>
          <w:lang w:eastAsia="hr-HR"/>
        </w:rPr>
        <w:t>kn</w:t>
      </w:r>
      <w:r w:rsidRPr="00DD1154">
        <w:rPr>
          <w:rFonts w:eastAsia="Times New Roman"/>
          <w:color w:val="000000"/>
          <w:lang w:eastAsia="hr-HR"/>
        </w:rPr>
        <w:t xml:space="preserve"> za projekte energetskih obnova javnih zgrada temeljem Ugovora o sufinanciranju provedbe Programa obnove zgrada javnog sektora sklopljenog između Fonda i Agencije za pravni promet i posredovanje nekretninama</w:t>
      </w:r>
    </w:p>
    <w:p w14:paraId="1C9961BC" w14:textId="2DA10E92" w:rsidR="000F4176" w:rsidRPr="00DD1154" w:rsidRDefault="000F4176" w:rsidP="000F4176">
      <w:pPr>
        <w:pStyle w:val="ListParagraph"/>
        <w:numPr>
          <w:ilvl w:val="0"/>
          <w:numId w:val="9"/>
        </w:numPr>
        <w:spacing w:before="60" w:after="60"/>
        <w:rPr>
          <w:rFonts w:eastAsia="Times New Roman"/>
          <w:color w:val="000000"/>
          <w:lang w:eastAsia="hr-HR"/>
        </w:rPr>
      </w:pPr>
      <w:r w:rsidRPr="00DD1154">
        <w:rPr>
          <w:rFonts w:eastAsia="Times New Roman"/>
          <w:color w:val="000000"/>
          <w:lang w:eastAsia="hr-HR"/>
        </w:rPr>
        <w:t xml:space="preserve">osiguravanje nacionalne komponente za </w:t>
      </w:r>
      <w:r w:rsidR="00BE4C8E" w:rsidRPr="00DD1154">
        <w:rPr>
          <w:rFonts w:eastAsia="Times New Roman"/>
          <w:lang w:eastAsia="hr-HR"/>
        </w:rPr>
        <w:t>(1 projekt)</w:t>
      </w:r>
      <w:r w:rsidR="00E01927" w:rsidRPr="00DD1154">
        <w:rPr>
          <w:rFonts w:eastAsia="Times New Roman"/>
          <w:lang w:eastAsia="hr-HR"/>
        </w:rPr>
        <w:t xml:space="preserve"> </w:t>
      </w:r>
      <w:r w:rsidRPr="00DD1154">
        <w:rPr>
          <w:rFonts w:eastAsia="Times New Roman"/>
          <w:color w:val="000000"/>
          <w:lang w:eastAsia="hr-HR"/>
        </w:rPr>
        <w:t>Program energetske obnove zgrada javnog sektora 2016. -2020.</w:t>
      </w:r>
      <w:r w:rsidR="009012C4" w:rsidRPr="00DD1154">
        <w:rPr>
          <w:rFonts w:eastAsia="Times New Roman"/>
          <w:color w:val="000000"/>
          <w:lang w:eastAsia="hr-HR"/>
        </w:rPr>
        <w:t>,</w:t>
      </w:r>
      <w:r w:rsidRPr="00DD1154">
        <w:rPr>
          <w:rFonts w:eastAsia="Times New Roman"/>
          <w:color w:val="000000"/>
          <w:lang w:eastAsia="hr-HR"/>
        </w:rPr>
        <w:t xml:space="preserve"> isplaćena su sredstva u iznosu od </w:t>
      </w:r>
      <w:r w:rsidRPr="00DD1154">
        <w:rPr>
          <w:rFonts w:eastAsia="Times New Roman"/>
          <w:b/>
          <w:color w:val="000000"/>
          <w:lang w:eastAsia="hr-HR"/>
        </w:rPr>
        <w:t>11.767.960,22</w:t>
      </w:r>
      <w:r w:rsidRPr="00DD1154">
        <w:rPr>
          <w:rFonts w:eastAsia="Times New Roman"/>
          <w:color w:val="000000"/>
          <w:lang w:eastAsia="hr-HR"/>
        </w:rPr>
        <w:t xml:space="preserve"> </w:t>
      </w:r>
      <w:r w:rsidR="006C04A7" w:rsidRPr="00DD1154">
        <w:rPr>
          <w:rFonts w:eastAsia="Times New Roman"/>
          <w:color w:val="000000"/>
          <w:lang w:eastAsia="hr-HR"/>
        </w:rPr>
        <w:t>kn</w:t>
      </w:r>
    </w:p>
    <w:p w14:paraId="2E9EC66A" w14:textId="54274B5D" w:rsidR="001C7C0E" w:rsidRPr="00DD1154" w:rsidRDefault="001C7C0E" w:rsidP="0040446F">
      <w:pPr>
        <w:pStyle w:val="ListParagraph"/>
        <w:numPr>
          <w:ilvl w:val="0"/>
          <w:numId w:val="9"/>
        </w:numPr>
        <w:spacing w:before="60" w:after="60"/>
        <w:rPr>
          <w:rFonts w:eastAsia="Times New Roman"/>
          <w:lang w:eastAsia="hr-HR"/>
        </w:rPr>
      </w:pPr>
      <w:r w:rsidRPr="00DD1154">
        <w:rPr>
          <w:rFonts w:eastAsia="Times New Roman"/>
          <w:color w:val="000000"/>
          <w:lang w:eastAsia="hr-HR"/>
        </w:rPr>
        <w:t>obnova obiteljskih kuća</w:t>
      </w:r>
      <w:r w:rsidR="0040446F" w:rsidRPr="00DD1154">
        <w:rPr>
          <w:rFonts w:eastAsia="Times New Roman"/>
          <w:lang w:eastAsia="hr-HR"/>
        </w:rPr>
        <w:t xml:space="preserve">, </w:t>
      </w:r>
      <w:r w:rsidRPr="00DD1154">
        <w:rPr>
          <w:rFonts w:eastAsia="Times New Roman"/>
          <w:lang w:eastAsia="hr-HR"/>
        </w:rPr>
        <w:t>okvir koji se odnosi na sve građane, vlasnike obiteljskih kuća</w:t>
      </w:r>
    </w:p>
    <w:p w14:paraId="78BCA950" w14:textId="4A3AE488" w:rsidR="001C7C0E" w:rsidRPr="00DD1154" w:rsidRDefault="001C7C0E" w:rsidP="00E01927">
      <w:pPr>
        <w:pStyle w:val="ListParagraph"/>
        <w:numPr>
          <w:ilvl w:val="2"/>
          <w:numId w:val="9"/>
        </w:numPr>
        <w:spacing w:before="60" w:after="60"/>
        <w:rPr>
          <w:rFonts w:eastAsia="Times New Roman"/>
          <w:color w:val="000000"/>
          <w:lang w:eastAsia="hr-HR"/>
        </w:rPr>
      </w:pPr>
      <w:r w:rsidRPr="00DD1154">
        <w:rPr>
          <w:rFonts w:eastAsia="Times New Roman"/>
          <w:color w:val="000000"/>
          <w:lang w:eastAsia="hr-HR"/>
        </w:rPr>
        <w:t xml:space="preserve">ukupno je isplaćeno </w:t>
      </w:r>
      <w:r w:rsidRPr="00DD1154">
        <w:rPr>
          <w:rFonts w:eastAsia="Times New Roman"/>
          <w:b/>
          <w:bCs/>
          <w:color w:val="000000"/>
          <w:lang w:eastAsia="hr-HR"/>
        </w:rPr>
        <w:t xml:space="preserve">601.867,04 </w:t>
      </w:r>
      <w:r w:rsidR="006C04A7" w:rsidRPr="00DD1154">
        <w:rPr>
          <w:rFonts w:eastAsia="Times New Roman"/>
          <w:b/>
          <w:bCs/>
          <w:color w:val="000000"/>
          <w:lang w:eastAsia="hr-HR"/>
        </w:rPr>
        <w:t>kn</w:t>
      </w:r>
      <w:r w:rsidRPr="00DD1154">
        <w:rPr>
          <w:rFonts w:eastAsia="Times New Roman"/>
          <w:color w:val="000000"/>
          <w:lang w:eastAsia="hr-HR"/>
        </w:rPr>
        <w:t xml:space="preserve"> za </w:t>
      </w:r>
      <w:r w:rsidRPr="00DD1154">
        <w:rPr>
          <w:rFonts w:eastAsia="Times New Roman"/>
          <w:b/>
          <w:bCs/>
          <w:color w:val="000000"/>
          <w:lang w:eastAsia="hr-HR"/>
        </w:rPr>
        <w:t>16</w:t>
      </w:r>
      <w:r w:rsidRPr="00DD1154">
        <w:rPr>
          <w:rFonts w:eastAsia="Times New Roman"/>
          <w:color w:val="000000"/>
          <w:lang w:eastAsia="hr-HR"/>
        </w:rPr>
        <w:t xml:space="preserve"> projekata</w:t>
      </w:r>
    </w:p>
    <w:p w14:paraId="78B85825" w14:textId="77777777" w:rsidR="001C7C0E" w:rsidRPr="00DD1154" w:rsidRDefault="001C7C0E" w:rsidP="008D4D94">
      <w:pPr>
        <w:pStyle w:val="ListParagraph"/>
        <w:numPr>
          <w:ilvl w:val="0"/>
          <w:numId w:val="9"/>
        </w:numPr>
        <w:spacing w:before="60" w:after="60"/>
        <w:rPr>
          <w:rFonts w:eastAsia="Times New Roman"/>
          <w:color w:val="000000"/>
          <w:lang w:eastAsia="hr-HR"/>
        </w:rPr>
      </w:pPr>
      <w:r w:rsidRPr="00DD1154">
        <w:rPr>
          <w:rFonts w:eastAsia="Times New Roman"/>
          <w:color w:val="000000"/>
          <w:lang w:eastAsia="hr-HR"/>
        </w:rPr>
        <w:t>kupnja kondenzacijskih bojlera kojim se zamjenjuju postojeći bojleri koji nisu kondenzacijski</w:t>
      </w:r>
    </w:p>
    <w:p w14:paraId="531A8DD5" w14:textId="44C9268F" w:rsidR="001C7C0E" w:rsidRPr="00DD1154" w:rsidRDefault="001C7C0E" w:rsidP="008D4D94">
      <w:pPr>
        <w:pStyle w:val="ListParagraph"/>
        <w:numPr>
          <w:ilvl w:val="1"/>
          <w:numId w:val="9"/>
        </w:numPr>
        <w:spacing w:before="60" w:after="60"/>
        <w:rPr>
          <w:rFonts w:eastAsia="Times New Roman"/>
          <w:color w:val="000000"/>
          <w:lang w:eastAsia="hr-HR"/>
        </w:rPr>
      </w:pPr>
      <w:r w:rsidRPr="00DD1154">
        <w:rPr>
          <w:rFonts w:eastAsia="Times New Roman"/>
          <w:color w:val="000000"/>
          <w:lang w:eastAsia="hr-HR"/>
        </w:rPr>
        <w:t xml:space="preserve">ukupno je isplaćeno </w:t>
      </w:r>
      <w:r w:rsidRPr="00DD1154">
        <w:rPr>
          <w:rFonts w:eastAsia="Times New Roman"/>
          <w:b/>
          <w:bCs/>
          <w:color w:val="000000"/>
          <w:lang w:eastAsia="hr-HR"/>
        </w:rPr>
        <w:t xml:space="preserve">12.791.816,19 </w:t>
      </w:r>
      <w:r w:rsidR="006C04A7" w:rsidRPr="00DD1154">
        <w:rPr>
          <w:rFonts w:eastAsia="Times New Roman"/>
          <w:b/>
          <w:bCs/>
          <w:color w:val="000000"/>
          <w:lang w:eastAsia="hr-HR"/>
        </w:rPr>
        <w:t>kn</w:t>
      </w:r>
      <w:r w:rsidRPr="00DD1154">
        <w:rPr>
          <w:rFonts w:eastAsia="Times New Roman"/>
          <w:color w:val="000000"/>
          <w:lang w:eastAsia="hr-HR"/>
        </w:rPr>
        <w:t xml:space="preserve"> za </w:t>
      </w:r>
      <w:r w:rsidRPr="00DD1154">
        <w:rPr>
          <w:rFonts w:eastAsia="Times New Roman"/>
          <w:b/>
          <w:bCs/>
          <w:color w:val="000000"/>
          <w:lang w:eastAsia="hr-HR"/>
        </w:rPr>
        <w:t>1691</w:t>
      </w:r>
      <w:r w:rsidRPr="00DD1154">
        <w:rPr>
          <w:rFonts w:eastAsia="Times New Roman"/>
          <w:color w:val="000000"/>
          <w:lang w:eastAsia="hr-HR"/>
        </w:rPr>
        <w:t xml:space="preserve"> projekt</w:t>
      </w:r>
    </w:p>
    <w:p w14:paraId="3CC0111A" w14:textId="6CC1333A" w:rsidR="001C7C0E" w:rsidRPr="00DD1154" w:rsidRDefault="001C7C0E" w:rsidP="00950741">
      <w:pPr>
        <w:pStyle w:val="ListParagraph"/>
        <w:numPr>
          <w:ilvl w:val="0"/>
          <w:numId w:val="9"/>
        </w:numPr>
        <w:spacing w:before="60" w:after="60"/>
        <w:rPr>
          <w:shd w:val="clear" w:color="auto" w:fill="FFFFFF"/>
        </w:rPr>
      </w:pPr>
      <w:r w:rsidRPr="00DD1154">
        <w:rPr>
          <w:rFonts w:eastAsia="Times New Roman"/>
          <w:lang w:eastAsia="hr-HR"/>
        </w:rPr>
        <w:t xml:space="preserve">primjena </w:t>
      </w:r>
      <w:r w:rsidRPr="00DD1154">
        <w:rPr>
          <w:shd w:val="clear" w:color="auto" w:fill="FFFFFF"/>
        </w:rPr>
        <w:t>koncepta »pametnih gradova«</w:t>
      </w:r>
      <w:r w:rsidR="00950741" w:rsidRPr="00DD1154">
        <w:rPr>
          <w:shd w:val="clear" w:color="auto" w:fill="FFFFFF"/>
        </w:rPr>
        <w:t xml:space="preserve"> omogućuje integrirana ulaganja u prostor s naglaskom na inovativno i učinkovito upravljanje i potiče razvoj pametnih rješenja u prometnom sustavu u cilju smanjenja emisija stakleničkih plinova te time povećava kvalitetu življenja i doprinosi očuvanju </w:t>
      </w:r>
      <w:r w:rsidR="00950741" w:rsidRPr="00DD1154">
        <w:rPr>
          <w:shd w:val="clear" w:color="auto" w:fill="FFFFFF"/>
        </w:rPr>
        <w:lastRenderedPageBreak/>
        <w:t>okoliša (npr. izrada GIS aplikacijskog programskog sustava s različitim programskim paketima, automatizacija procesa rada grada ili općine uvođenjem e-arhive, e-pisarnice i sl., postavljanje „info-touch display“ uređaja za prijavu komunalnih problema i općenito komunikaciju s građanima, izrada aplikacija vezanih uz održivi promet itd.).</w:t>
      </w:r>
    </w:p>
    <w:p w14:paraId="2F5CDB6D" w14:textId="3D2F223D" w:rsidR="001C7C0E" w:rsidRPr="00DD1154" w:rsidRDefault="001C7C0E" w:rsidP="008D4D94">
      <w:pPr>
        <w:pStyle w:val="ListParagraph"/>
        <w:numPr>
          <w:ilvl w:val="1"/>
          <w:numId w:val="9"/>
        </w:numPr>
        <w:spacing w:before="60" w:after="60"/>
        <w:rPr>
          <w:rFonts w:eastAsia="Times New Roman"/>
          <w:lang w:eastAsia="hr-HR"/>
        </w:rPr>
      </w:pPr>
      <w:r w:rsidRPr="00DD1154">
        <w:rPr>
          <w:shd w:val="clear" w:color="auto" w:fill="FFFFFF"/>
        </w:rPr>
        <w:t xml:space="preserve">ukupno je isplaćeno </w:t>
      </w:r>
      <w:r w:rsidRPr="00DD1154">
        <w:rPr>
          <w:b/>
          <w:bCs/>
          <w:shd w:val="clear" w:color="auto" w:fill="FFFFFF"/>
        </w:rPr>
        <w:t xml:space="preserve">2.348.599,25 </w:t>
      </w:r>
      <w:r w:rsidR="006C04A7" w:rsidRPr="00DD1154">
        <w:rPr>
          <w:b/>
          <w:bCs/>
          <w:shd w:val="clear" w:color="auto" w:fill="FFFFFF"/>
        </w:rPr>
        <w:t>kn</w:t>
      </w:r>
      <w:r w:rsidRPr="00DD1154">
        <w:rPr>
          <w:shd w:val="clear" w:color="auto" w:fill="FFFFFF"/>
        </w:rPr>
        <w:t xml:space="preserve"> za </w:t>
      </w:r>
      <w:r w:rsidRPr="00DD1154">
        <w:rPr>
          <w:b/>
          <w:bCs/>
          <w:shd w:val="clear" w:color="auto" w:fill="FFFFFF"/>
        </w:rPr>
        <w:t>19</w:t>
      </w:r>
      <w:r w:rsidRPr="00DD1154">
        <w:rPr>
          <w:shd w:val="clear" w:color="auto" w:fill="FFFFFF"/>
        </w:rPr>
        <w:t xml:space="preserve"> projekata</w:t>
      </w:r>
      <w:r w:rsidR="00AD7386" w:rsidRPr="00DD1154">
        <w:rPr>
          <w:shd w:val="clear" w:color="auto" w:fill="FFFFFF"/>
        </w:rPr>
        <w:t xml:space="preserve"> i to korisnicima: Gradovi Velika Gorica, Zabok</w:t>
      </w:r>
      <w:r w:rsidR="005E35F7" w:rsidRPr="00DD1154">
        <w:rPr>
          <w:shd w:val="clear" w:color="auto" w:fill="FFFFFF"/>
        </w:rPr>
        <w:t xml:space="preserve"> (2)</w:t>
      </w:r>
      <w:r w:rsidR="00AD7386" w:rsidRPr="00DD1154">
        <w:rPr>
          <w:shd w:val="clear" w:color="auto" w:fill="FFFFFF"/>
        </w:rPr>
        <w:t>, Glina, Drniš, Supetar</w:t>
      </w:r>
      <w:r w:rsidR="005E35F7" w:rsidRPr="00DD1154">
        <w:rPr>
          <w:shd w:val="clear" w:color="auto" w:fill="FFFFFF"/>
        </w:rPr>
        <w:t xml:space="preserve"> (2)</w:t>
      </w:r>
      <w:r w:rsidR="00AD7386" w:rsidRPr="00DD1154">
        <w:rPr>
          <w:shd w:val="clear" w:color="auto" w:fill="FFFFFF"/>
        </w:rPr>
        <w:t>, Komiža i Ploče te Općine Lasinja, Donja Voća, Čađavica</w:t>
      </w:r>
      <w:r w:rsidR="005E35F7" w:rsidRPr="00DD1154">
        <w:rPr>
          <w:shd w:val="clear" w:color="auto" w:fill="FFFFFF"/>
        </w:rPr>
        <w:t xml:space="preserve"> (2)</w:t>
      </w:r>
      <w:r w:rsidR="00AD7386" w:rsidRPr="00DD1154">
        <w:rPr>
          <w:shd w:val="clear" w:color="auto" w:fill="FFFFFF"/>
        </w:rPr>
        <w:t>, Sopje, Sikirivci, Garčin, Drenje, Vladisavci i Brtonigla.</w:t>
      </w:r>
    </w:p>
    <w:p w14:paraId="5E1EBB8D" w14:textId="3398D379" w:rsidR="00A709FD" w:rsidRPr="00DD1154" w:rsidRDefault="00CD4E9C" w:rsidP="007E4EEE">
      <w:pPr>
        <w:pStyle w:val="ListParagraph"/>
        <w:numPr>
          <w:ilvl w:val="0"/>
          <w:numId w:val="12"/>
        </w:numPr>
        <w:spacing w:before="60" w:after="60"/>
        <w:rPr>
          <w:rFonts w:eastAsia="Times New Roman"/>
          <w:color w:val="000000"/>
          <w:lang w:eastAsia="hr-HR"/>
        </w:rPr>
      </w:pPr>
      <w:r w:rsidRPr="00DD1154">
        <w:t>n</w:t>
      </w:r>
      <w:r w:rsidR="0081265D" w:rsidRPr="00DD1154">
        <w:t>a prioritetnu mjera ENU odnosi se i p</w:t>
      </w:r>
      <w:r w:rsidR="0081265D" w:rsidRPr="00DD1154">
        <w:rPr>
          <w:rFonts w:eastAsia="Times New Roman"/>
          <w:lang w:eastAsia="hr-HR"/>
        </w:rPr>
        <w:t xml:space="preserve">odmirenje obveze troška </w:t>
      </w:r>
      <w:r w:rsidR="0081265D" w:rsidRPr="00DD1154">
        <w:t xml:space="preserve">Programa energetske obnove obiteljskih kuća </w:t>
      </w:r>
      <w:r w:rsidR="0081265D" w:rsidRPr="00DD1154">
        <w:rPr>
          <w:lang w:eastAsia="hr-HR"/>
        </w:rPr>
        <w:t xml:space="preserve">za razdoblje od 2014.-2020. (Narodne novine 57/2020) koje je u iznosu od </w:t>
      </w:r>
      <w:r w:rsidR="00B7114E" w:rsidRPr="00DD1154">
        <w:rPr>
          <w:lang w:eastAsia="hr-HR"/>
        </w:rPr>
        <w:t xml:space="preserve">226.500.000 </w:t>
      </w:r>
      <w:r w:rsidR="006C04A7" w:rsidRPr="00DD1154">
        <w:rPr>
          <w:lang w:eastAsia="hr-HR"/>
        </w:rPr>
        <w:t>kn</w:t>
      </w:r>
      <w:r w:rsidR="00B7114E" w:rsidRPr="00DD1154">
        <w:rPr>
          <w:lang w:eastAsia="hr-HR"/>
        </w:rPr>
        <w:t xml:space="preserve"> realizirano u 2020.</w:t>
      </w:r>
      <w:r w:rsidR="007261BA" w:rsidRPr="00DD1154">
        <w:rPr>
          <w:lang w:eastAsia="hr-HR"/>
        </w:rPr>
        <w:t xml:space="preserve"> godini</w:t>
      </w:r>
      <w:r w:rsidR="00486789" w:rsidRPr="00DD1154">
        <w:rPr>
          <w:lang w:eastAsia="hr-HR"/>
        </w:rPr>
        <w:t>.</w:t>
      </w:r>
      <w:r w:rsidR="007261BA" w:rsidRPr="00DD1154">
        <w:rPr>
          <w:lang w:eastAsia="hr-HR"/>
        </w:rPr>
        <w:t xml:space="preserve"> Naime, </w:t>
      </w:r>
      <w:r w:rsidR="007261BA" w:rsidRPr="00DD1154">
        <w:t>sukladno točki III. Odluke Vlade RH o donošenju Plana za iznos od 15</w:t>
      </w:r>
      <w:r w:rsidR="00485B28" w:rsidRPr="00DD1154">
        <w:t xml:space="preserve"> </w:t>
      </w:r>
      <w:r w:rsidR="007261BA" w:rsidRPr="00DD1154">
        <w:t>%</w:t>
      </w:r>
      <w:r w:rsidR="007261BA" w:rsidRPr="00DD1154">
        <w:rPr>
          <w:b/>
        </w:rPr>
        <w:t xml:space="preserve"> </w:t>
      </w:r>
      <w:r w:rsidR="007261BA" w:rsidRPr="00DD1154">
        <w:t>ukupn</w:t>
      </w:r>
      <w:r w:rsidR="0072171D" w:rsidRPr="00DD1154">
        <w:t>ih financijskih sredstava je usvojen prijedlog da se preraspodjele</w:t>
      </w:r>
      <w:r w:rsidR="007261BA" w:rsidRPr="00DD1154">
        <w:t xml:space="preserve"> za provedbu Programa energetske obnove obiteljskih kuća za razdoblje od 2014. do 2020. godine, odnosno za naknadu sredstava utrošenih </w:t>
      </w:r>
      <w:r w:rsidR="00486789" w:rsidRPr="00DD1154">
        <w:t xml:space="preserve">2015. i 2016. </w:t>
      </w:r>
      <w:r w:rsidR="007261BA" w:rsidRPr="00DD1154">
        <w:t xml:space="preserve">za provedbu navedenog Programa iz razloga što se provedbom navedenog Programa doprinosi sveukupnom nacionalnom cilju utvrđenom u </w:t>
      </w:r>
      <w:r w:rsidR="007261BA" w:rsidRPr="00DD1154">
        <w:rPr>
          <w:i/>
        </w:rPr>
        <w:t>4. Nacionalnom akcijskom planu energetske učinkovitosti</w:t>
      </w:r>
      <w:r w:rsidR="007261BA" w:rsidRPr="00DD1154">
        <w:t xml:space="preserve"> i </w:t>
      </w:r>
      <w:r w:rsidR="007261BA" w:rsidRPr="00DD1154">
        <w:rPr>
          <w:i/>
        </w:rPr>
        <w:t>Dugoročnoj strategiji za poticanje ulaganja u obnovu nacionalnog fonda zgrada Republike Hrvatske</w:t>
      </w:r>
      <w:r w:rsidR="007261BA" w:rsidRPr="00DD1154">
        <w:t xml:space="preserve"> te ostvarenju nacionalnih ciljeva u energetskoj učinkovitosti</w:t>
      </w:r>
      <w:r w:rsidR="00E01927" w:rsidRPr="00DD1154">
        <w:t xml:space="preserve"> (1 projekt)</w:t>
      </w:r>
      <w:r w:rsidR="007E4EEE" w:rsidRPr="00DD1154">
        <w:t>.</w:t>
      </w:r>
    </w:p>
    <w:p w14:paraId="3A177DA0" w14:textId="752D0768" w:rsidR="007E4EEE" w:rsidRPr="00DD1154" w:rsidRDefault="007E4EEE" w:rsidP="007E4EEE">
      <w:pPr>
        <w:spacing w:before="60" w:after="60"/>
        <w:rPr>
          <w:rFonts w:eastAsia="Times New Roman"/>
          <w:color w:val="000000"/>
          <w:lang w:eastAsia="hr-HR"/>
        </w:rPr>
      </w:pPr>
    </w:p>
    <w:p w14:paraId="5B821DFC" w14:textId="29C53A78" w:rsidR="007E4EEE" w:rsidRPr="00DD1154" w:rsidRDefault="007E4EEE" w:rsidP="007E4EEE">
      <w:pPr>
        <w:spacing w:before="60" w:after="60"/>
        <w:rPr>
          <w:rFonts w:eastAsia="Times New Roman"/>
          <w:color w:val="000000"/>
          <w:lang w:eastAsia="hr-HR"/>
        </w:rPr>
      </w:pPr>
    </w:p>
    <w:p w14:paraId="0E60D2FB" w14:textId="338AA24E" w:rsidR="007E4EEE" w:rsidRPr="00DD1154" w:rsidRDefault="007E4EEE" w:rsidP="007E4EEE">
      <w:pPr>
        <w:spacing w:before="60" w:after="60"/>
        <w:rPr>
          <w:rFonts w:eastAsia="Times New Roman"/>
          <w:color w:val="000000"/>
          <w:lang w:eastAsia="hr-HR"/>
        </w:rPr>
      </w:pPr>
    </w:p>
    <w:p w14:paraId="688149DF" w14:textId="42FBF16A" w:rsidR="007E4EEE" w:rsidRPr="00DD1154" w:rsidRDefault="007E4EEE" w:rsidP="007E4EEE">
      <w:pPr>
        <w:spacing w:before="60" w:after="60"/>
        <w:rPr>
          <w:rFonts w:eastAsia="Times New Roman"/>
          <w:color w:val="000000"/>
          <w:lang w:eastAsia="hr-HR"/>
        </w:rPr>
      </w:pPr>
    </w:p>
    <w:p w14:paraId="56693D95" w14:textId="1E6C614F" w:rsidR="007E4EEE" w:rsidRPr="00DD1154" w:rsidRDefault="007E4EEE" w:rsidP="007E4EEE">
      <w:pPr>
        <w:spacing w:before="60" w:after="60"/>
        <w:rPr>
          <w:rFonts w:eastAsia="Times New Roman"/>
          <w:color w:val="000000"/>
          <w:lang w:eastAsia="hr-HR"/>
        </w:rPr>
      </w:pPr>
    </w:p>
    <w:p w14:paraId="3EDDE7EB" w14:textId="62170281" w:rsidR="007E4EEE" w:rsidRPr="00DD1154" w:rsidRDefault="007E4EEE" w:rsidP="007E4EEE">
      <w:pPr>
        <w:spacing w:before="60" w:after="60"/>
        <w:rPr>
          <w:rFonts w:eastAsia="Times New Roman"/>
          <w:color w:val="000000"/>
          <w:lang w:eastAsia="hr-HR"/>
        </w:rPr>
      </w:pPr>
    </w:p>
    <w:p w14:paraId="27C7EA6D" w14:textId="3B793017" w:rsidR="007E4EEE" w:rsidRPr="00DD1154" w:rsidRDefault="007E4EEE" w:rsidP="007E4EEE">
      <w:pPr>
        <w:spacing w:before="60" w:after="60"/>
        <w:rPr>
          <w:rFonts w:eastAsia="Times New Roman"/>
          <w:color w:val="000000"/>
          <w:lang w:eastAsia="hr-HR"/>
        </w:rPr>
      </w:pPr>
    </w:p>
    <w:p w14:paraId="3336A9B0" w14:textId="53189BC7" w:rsidR="007E4EEE" w:rsidRPr="00DD1154" w:rsidRDefault="007E4EEE" w:rsidP="007E4EEE">
      <w:pPr>
        <w:spacing w:before="60" w:after="60"/>
        <w:rPr>
          <w:rFonts w:eastAsia="Times New Roman"/>
          <w:color w:val="000000"/>
          <w:lang w:eastAsia="hr-HR"/>
        </w:rPr>
      </w:pPr>
    </w:p>
    <w:p w14:paraId="721D0F23" w14:textId="5FDA967E" w:rsidR="007E4EEE" w:rsidRPr="00DD1154" w:rsidRDefault="007E4EEE" w:rsidP="007E4EEE">
      <w:pPr>
        <w:spacing w:before="60" w:after="60"/>
        <w:rPr>
          <w:rFonts w:eastAsia="Times New Roman"/>
          <w:color w:val="000000"/>
          <w:lang w:eastAsia="hr-HR"/>
        </w:rPr>
      </w:pPr>
    </w:p>
    <w:p w14:paraId="5FCC4573" w14:textId="3A913946" w:rsidR="007E4EEE" w:rsidRPr="00DD1154" w:rsidRDefault="007E4EEE" w:rsidP="007E4EEE">
      <w:pPr>
        <w:spacing w:before="60" w:after="60"/>
        <w:rPr>
          <w:rFonts w:eastAsia="Times New Roman"/>
          <w:color w:val="000000"/>
          <w:lang w:eastAsia="hr-HR"/>
        </w:rPr>
      </w:pPr>
    </w:p>
    <w:p w14:paraId="704F0CDE" w14:textId="23AD83B5" w:rsidR="007E4EEE" w:rsidRPr="00DD1154" w:rsidRDefault="007E4EEE" w:rsidP="007E4EEE">
      <w:pPr>
        <w:spacing w:before="60" w:after="60"/>
        <w:rPr>
          <w:rFonts w:eastAsia="Times New Roman"/>
          <w:color w:val="000000"/>
          <w:lang w:eastAsia="hr-HR"/>
        </w:rPr>
      </w:pPr>
    </w:p>
    <w:p w14:paraId="52A26F53" w14:textId="3C95A250" w:rsidR="007E4EEE" w:rsidRPr="00DD1154" w:rsidRDefault="007E4EEE" w:rsidP="007E4EEE">
      <w:pPr>
        <w:spacing w:before="60" w:after="60"/>
        <w:rPr>
          <w:rFonts w:eastAsia="Times New Roman"/>
          <w:color w:val="000000"/>
          <w:lang w:eastAsia="hr-HR"/>
        </w:rPr>
      </w:pPr>
    </w:p>
    <w:p w14:paraId="5380A4C3" w14:textId="093DB48B" w:rsidR="007E4EEE" w:rsidRPr="00DD1154" w:rsidRDefault="007E4EEE" w:rsidP="007E4EEE">
      <w:pPr>
        <w:spacing w:before="60" w:after="60"/>
        <w:rPr>
          <w:rFonts w:eastAsia="Times New Roman"/>
          <w:color w:val="000000"/>
          <w:lang w:eastAsia="hr-HR"/>
        </w:rPr>
      </w:pPr>
    </w:p>
    <w:p w14:paraId="1F43FAF6" w14:textId="78464BC7" w:rsidR="007E4EEE" w:rsidRPr="00DD1154" w:rsidRDefault="007E4EEE" w:rsidP="007E4EEE">
      <w:pPr>
        <w:spacing w:before="60" w:after="60"/>
        <w:rPr>
          <w:rFonts w:eastAsia="Times New Roman"/>
          <w:color w:val="000000"/>
          <w:lang w:eastAsia="hr-HR"/>
        </w:rPr>
      </w:pPr>
    </w:p>
    <w:p w14:paraId="3BD61AA3" w14:textId="77777777" w:rsidR="000851FF" w:rsidRPr="00DD1154" w:rsidRDefault="000851FF" w:rsidP="007E4EEE">
      <w:pPr>
        <w:spacing w:before="60" w:after="60"/>
        <w:rPr>
          <w:rFonts w:eastAsia="Times New Roman"/>
          <w:color w:val="000000"/>
          <w:lang w:eastAsia="hr-HR"/>
        </w:rPr>
      </w:pPr>
    </w:p>
    <w:p w14:paraId="48D7CBFE" w14:textId="77777777" w:rsidR="007E4EEE" w:rsidRPr="00DD1154" w:rsidRDefault="007E4EEE" w:rsidP="007E4EEE">
      <w:pPr>
        <w:pStyle w:val="Heading2"/>
        <w:spacing w:before="0" w:after="240" w:line="240" w:lineRule="auto"/>
        <w:rPr>
          <w:rFonts w:ascii="Times New Roman" w:hAnsi="Times New Roman" w:cs="Times New Roman"/>
          <w:sz w:val="24"/>
          <w:szCs w:val="24"/>
        </w:rPr>
      </w:pPr>
      <w:bookmarkStart w:id="9" w:name="_Toc89261071"/>
      <w:r w:rsidRPr="00DD1154">
        <w:rPr>
          <w:rFonts w:ascii="Times New Roman" w:hAnsi="Times New Roman" w:cs="Times New Roman"/>
          <w:sz w:val="24"/>
          <w:szCs w:val="24"/>
        </w:rPr>
        <w:t>Energetsko siromaštvo (ENS)</w:t>
      </w:r>
      <w:bookmarkEnd w:id="9"/>
    </w:p>
    <w:p w14:paraId="19B9B5DA" w14:textId="77777777" w:rsidR="007E4EEE" w:rsidRPr="00DD1154" w:rsidRDefault="007E4EEE" w:rsidP="00045723">
      <w:pPr>
        <w:spacing w:after="120" w:line="240" w:lineRule="auto"/>
      </w:pPr>
      <w:r w:rsidRPr="00DD1154">
        <w:t xml:space="preserve">Energetsko siromaštvo označava situaciju u kojoj kućanstva nemaju pristup osnovnim energetskim uslugama. Odgovarajuće grijanje, hlađenje, rasvjeta i električna energija za napajanje kućanskih aparata osnovne su usluge neophodne za dostojanstven životni standard i zdravlje. Pristup energetskim uslugama ključan je za socijalnu </w:t>
      </w:r>
      <w:r w:rsidRPr="00DD1154">
        <w:lastRenderedPageBreak/>
        <w:t>uključenost. Rješavanje problema energetskog siromaštva stoga potencijalno može donijeti višestruke koristi, uključujući smanjenje izdataka za zdravstvo, smanjenje onečišćenja zraka (zamjenom neprikladnih izvora toplinske energije), poboljšanje ugode i dobrobiti te olakšanje za proračun kućanstva.</w:t>
      </w:r>
    </w:p>
    <w:p w14:paraId="0482393A" w14:textId="47482DFC" w:rsidR="007E4EEE" w:rsidRPr="00DD1154" w:rsidRDefault="007E4EEE" w:rsidP="00045723">
      <w:pPr>
        <w:spacing w:after="120" w:line="240" w:lineRule="auto"/>
        <w:rPr>
          <w:lang w:eastAsia="hr-HR"/>
        </w:rPr>
      </w:pPr>
      <w:r w:rsidRPr="00DD1154">
        <w:t xml:space="preserve">Sukladno prioritetnoj mjeri Energetsko siromaštvo iz Plana, Fond je u 2020. godini </w:t>
      </w:r>
      <w:r w:rsidRPr="00DD1154">
        <w:rPr>
          <w:lang w:eastAsia="hr-HR"/>
        </w:rPr>
        <w:t>temeljem Izmjena i dopuna Programa energetske obnove obiteljskih kuća za razdoblje od 2014.-2020. (</w:t>
      </w:r>
      <w:r w:rsidR="00045723" w:rsidRPr="00DD1154">
        <w:rPr>
          <w:lang w:eastAsia="hr-HR"/>
        </w:rPr>
        <w:t>„</w:t>
      </w:r>
      <w:r w:rsidRPr="00DD1154">
        <w:rPr>
          <w:lang w:eastAsia="hr-HR"/>
        </w:rPr>
        <w:t>Narodne novine</w:t>
      </w:r>
      <w:r w:rsidR="00045723" w:rsidRPr="00DD1154">
        <w:rPr>
          <w:lang w:eastAsia="hr-HR"/>
        </w:rPr>
        <w:t>“, broj</w:t>
      </w:r>
      <w:r w:rsidRPr="00DD1154">
        <w:rPr>
          <w:lang w:eastAsia="hr-HR"/>
        </w:rPr>
        <w:t xml:space="preserve"> 57/2020) koje je donijela Vlada RH provodio</w:t>
      </w:r>
      <w:r w:rsidRPr="00DD1154">
        <w:t xml:space="preserve"> </w:t>
      </w:r>
      <w:r w:rsidRPr="00DD1154">
        <w:rPr>
          <w:lang w:eastAsia="hr-HR"/>
        </w:rPr>
        <w:t>mjere energetske obnove u postojećim obiteljskim kućama za ranjive skupine građana. Uz obnovu obiteljskih kuća isplaćivala se i naknada energetskim certifikatorima koji su pod propisanim uvjetima pružali svu tehničku pomoć građanima ugroženima od energetskog siromaštva.</w:t>
      </w:r>
    </w:p>
    <w:p w14:paraId="12DA0F0F" w14:textId="561F9570" w:rsidR="007E4EEE" w:rsidRPr="00DD1154" w:rsidRDefault="007E4EEE" w:rsidP="007E4EEE">
      <w:pPr>
        <w:spacing w:before="60" w:after="60"/>
        <w:ind w:firstLine="567"/>
        <w:rPr>
          <w:lang w:eastAsia="hr-HR"/>
        </w:rPr>
      </w:pPr>
      <w:r w:rsidRPr="00DD1154">
        <w:rPr>
          <w:lang w:eastAsia="hr-HR"/>
        </w:rPr>
        <w:t xml:space="preserve">Isplaćena su sredstva u iznosu od </w:t>
      </w:r>
      <w:r w:rsidRPr="00DD1154">
        <w:rPr>
          <w:b/>
          <w:bCs/>
          <w:lang w:eastAsia="hr-HR"/>
        </w:rPr>
        <w:t xml:space="preserve">25.500,00 </w:t>
      </w:r>
      <w:r w:rsidR="006C04A7" w:rsidRPr="00DD1154">
        <w:rPr>
          <w:b/>
          <w:bCs/>
          <w:lang w:eastAsia="hr-HR"/>
        </w:rPr>
        <w:t>kn</w:t>
      </w:r>
      <w:r w:rsidRPr="00DD1154">
        <w:rPr>
          <w:b/>
          <w:bCs/>
          <w:lang w:eastAsia="hr-HR"/>
        </w:rPr>
        <w:t xml:space="preserve"> </w:t>
      </w:r>
      <w:r w:rsidRPr="00DD1154">
        <w:rPr>
          <w:lang w:eastAsia="hr-HR"/>
        </w:rPr>
        <w:t>za 17 naknada energetskim certifikatorima</w:t>
      </w:r>
      <w:r w:rsidR="00E032EF" w:rsidRPr="00DD1154">
        <w:rPr>
          <w:lang w:eastAsia="hr-HR"/>
        </w:rPr>
        <w:t xml:space="preserve"> (</w:t>
      </w:r>
      <w:r w:rsidR="00834A5F" w:rsidRPr="00DD1154">
        <w:rPr>
          <w:b/>
          <w:bCs/>
          <w:lang w:eastAsia="hr-HR"/>
        </w:rPr>
        <w:t xml:space="preserve">17 </w:t>
      </w:r>
      <w:r w:rsidR="00E032EF" w:rsidRPr="00DD1154">
        <w:rPr>
          <w:b/>
          <w:bCs/>
          <w:lang w:eastAsia="hr-HR"/>
        </w:rPr>
        <w:t>projekata</w:t>
      </w:r>
      <w:r w:rsidR="00E032EF" w:rsidRPr="00DD1154">
        <w:rPr>
          <w:lang w:eastAsia="hr-HR"/>
        </w:rPr>
        <w:t>)</w:t>
      </w:r>
      <w:r w:rsidRPr="00DD1154">
        <w:rPr>
          <w:lang w:eastAsia="hr-HR"/>
        </w:rPr>
        <w:t>.</w:t>
      </w:r>
    </w:p>
    <w:p w14:paraId="16DECD91" w14:textId="52CE5C71" w:rsidR="007E4EEE" w:rsidRPr="00DD1154" w:rsidRDefault="007E4EEE" w:rsidP="00172AF6">
      <w:pPr>
        <w:jc w:val="left"/>
        <w:rPr>
          <w:color w:val="FF0000"/>
          <w:lang w:eastAsia="hr-HR"/>
        </w:rPr>
      </w:pPr>
      <w:r w:rsidRPr="00DD1154">
        <w:rPr>
          <w:color w:val="FF0000"/>
          <w:lang w:eastAsia="hr-HR"/>
        </w:rPr>
        <w:br w:type="page"/>
      </w:r>
    </w:p>
    <w:p w14:paraId="4974081F" w14:textId="6FED286B" w:rsidR="00A709FD" w:rsidRPr="00DD1154" w:rsidRDefault="00A709FD" w:rsidP="008D4D94">
      <w:pPr>
        <w:pStyle w:val="Heading2"/>
        <w:rPr>
          <w:rFonts w:ascii="Times New Roman" w:hAnsi="Times New Roman" w:cs="Times New Roman"/>
          <w:sz w:val="24"/>
          <w:szCs w:val="24"/>
        </w:rPr>
      </w:pPr>
      <w:bookmarkStart w:id="10" w:name="_Toc89261072"/>
      <w:r w:rsidRPr="00DD1154">
        <w:rPr>
          <w:rFonts w:ascii="Times New Roman" w:hAnsi="Times New Roman" w:cs="Times New Roman"/>
          <w:sz w:val="24"/>
          <w:szCs w:val="24"/>
        </w:rPr>
        <w:lastRenderedPageBreak/>
        <w:t>Smanjenje emisija stakleničkih plinova u prometu (PR)</w:t>
      </w:r>
      <w:bookmarkEnd w:id="10"/>
    </w:p>
    <w:p w14:paraId="607CF18B" w14:textId="21A294E7" w:rsidR="0060287F" w:rsidRPr="00DD1154" w:rsidRDefault="0060287F" w:rsidP="00B12A7C">
      <w:pPr>
        <w:spacing w:before="60" w:after="60"/>
      </w:pPr>
      <w:r w:rsidRPr="00DD1154">
        <w:t>Promet ima veliki udio u ukupnoj energetskoj potrošnji te u emisijama stakleničkih plinova, čak oko 30</w:t>
      </w:r>
      <w:r w:rsidR="00485B28" w:rsidRPr="00DD1154">
        <w:t xml:space="preserve"> </w:t>
      </w:r>
      <w:r w:rsidRPr="00DD1154">
        <w:t>% u zemljama Europske unije. U Repu</w:t>
      </w:r>
      <w:r w:rsidR="00AE2ECF" w:rsidRPr="00DD1154">
        <w:t>blici Hrvatskoj promet čini 39,09</w:t>
      </w:r>
      <w:r w:rsidR="00485B28" w:rsidRPr="00DD1154">
        <w:t xml:space="preserve"> </w:t>
      </w:r>
      <w:r w:rsidRPr="00DD1154">
        <w:t>% emisije stakleničkih plino</w:t>
      </w:r>
      <w:r w:rsidR="00AE2ECF" w:rsidRPr="00DD1154">
        <w:t>va, od toga cestovni promet 96,3</w:t>
      </w:r>
      <w:r w:rsidR="00485B28" w:rsidRPr="00DD1154">
        <w:t xml:space="preserve"> </w:t>
      </w:r>
      <w:r w:rsidR="00AE2ECF" w:rsidRPr="00DD1154">
        <w:t>%, željeznički promet 0,8</w:t>
      </w:r>
      <w:r w:rsidR="00485B28" w:rsidRPr="00DD1154">
        <w:t xml:space="preserve"> </w:t>
      </w:r>
      <w:r w:rsidRPr="00DD1154">
        <w:t>%, pomorski i riječ</w:t>
      </w:r>
      <w:r w:rsidR="00AE2ECF" w:rsidRPr="00DD1154">
        <w:t>ni promet 2,4</w:t>
      </w:r>
      <w:r w:rsidR="00485B28" w:rsidRPr="00DD1154">
        <w:t xml:space="preserve"> </w:t>
      </w:r>
      <w:r w:rsidRPr="00DD1154">
        <w:t>% te domaći zračni promet 0,5</w:t>
      </w:r>
      <w:r w:rsidR="00485B28" w:rsidRPr="00DD1154">
        <w:t xml:space="preserve"> </w:t>
      </w:r>
      <w:r w:rsidRPr="00DD1154">
        <w:t>%</w:t>
      </w:r>
      <w:r w:rsidR="00AE2ECF" w:rsidRPr="00DD1154">
        <w:t xml:space="preserve"> (izvor NIR 2020)</w:t>
      </w:r>
      <w:r w:rsidRPr="00DD1154">
        <w:t>. S druge strane promet je preduvjet mobilnosti i razmjene dobara te kao takav preduvjet je za daljnji razvoj. Mjerama energetske učinkovitosti u prometu smanjuje se utjecaj prometa na okoliš, bez sputavanja daljnjeg razvoja.</w:t>
      </w:r>
    </w:p>
    <w:p w14:paraId="344B4287" w14:textId="644F733F" w:rsidR="0060287F" w:rsidRPr="00DD1154" w:rsidRDefault="0060287F" w:rsidP="00B12A7C">
      <w:pPr>
        <w:spacing w:before="60" w:after="60"/>
      </w:pPr>
      <w:r w:rsidRPr="00DD1154">
        <w:t xml:space="preserve">Sukladno prioritetnoj mjeri za smanjenje emisija stakleničkih plinova u prometu iz Plana, Fond je u </w:t>
      </w:r>
      <w:r w:rsidR="00272335" w:rsidRPr="00DD1154">
        <w:t xml:space="preserve">2019. i </w:t>
      </w:r>
      <w:r w:rsidRPr="00DD1154">
        <w:t xml:space="preserve">2020. godini isplatio sredstva u iznosu od </w:t>
      </w:r>
      <w:r w:rsidR="00272335" w:rsidRPr="00DD1154">
        <w:rPr>
          <w:b/>
        </w:rPr>
        <w:t>207.877,26</w:t>
      </w:r>
      <w:r w:rsidRPr="00DD1154">
        <w:rPr>
          <w:b/>
        </w:rPr>
        <w:t xml:space="preserve"> </w:t>
      </w:r>
      <w:r w:rsidR="006C04A7" w:rsidRPr="00DD1154">
        <w:rPr>
          <w:b/>
        </w:rPr>
        <w:t>kn</w:t>
      </w:r>
      <w:r w:rsidRPr="00DD1154">
        <w:t xml:space="preserve"> za </w:t>
      </w:r>
      <w:r w:rsidR="00AA09C7" w:rsidRPr="00DD1154">
        <w:rPr>
          <w:b/>
        </w:rPr>
        <w:t>2</w:t>
      </w:r>
      <w:r w:rsidR="00AA09C7" w:rsidRPr="00DD1154">
        <w:rPr>
          <w:b/>
          <w:color w:val="FF0000"/>
        </w:rPr>
        <w:t xml:space="preserve"> </w:t>
      </w:r>
      <w:r w:rsidRPr="00DD1154">
        <w:rPr>
          <w:b/>
        </w:rPr>
        <w:t>projekta</w:t>
      </w:r>
      <w:r w:rsidRPr="00DD1154">
        <w:t xml:space="preserve"> u sektoru prometa.</w:t>
      </w:r>
    </w:p>
    <w:p w14:paraId="46441780" w14:textId="77777777" w:rsidR="0060287F" w:rsidRPr="00DD1154" w:rsidRDefault="0060287F" w:rsidP="008D4D94">
      <w:pPr>
        <w:spacing w:before="60" w:after="60"/>
        <w:ind w:firstLine="567"/>
      </w:pPr>
      <w:r w:rsidRPr="00DD1154">
        <w:t>Riječ je o projektima za:</w:t>
      </w:r>
    </w:p>
    <w:p w14:paraId="3D4656E7" w14:textId="7EAFE202" w:rsidR="0060287F" w:rsidRPr="00DD1154" w:rsidRDefault="0060287F" w:rsidP="008D4D94">
      <w:pPr>
        <w:pStyle w:val="ListParagraph"/>
        <w:numPr>
          <w:ilvl w:val="0"/>
          <w:numId w:val="13"/>
        </w:numPr>
        <w:spacing w:after="0"/>
      </w:pPr>
      <w:r w:rsidRPr="00DD1154">
        <w:t xml:space="preserve">nabavu hibridnog vozila, deset električnih bicikala i izgradnju tri punionice za električna vozila kod korisnika JUPP Žumberak – Samoborsko gorje za koji je isplaćen iznos od </w:t>
      </w:r>
      <w:r w:rsidR="00272335" w:rsidRPr="00DD1154">
        <w:rPr>
          <w:b/>
        </w:rPr>
        <w:t>48.177,60</w:t>
      </w:r>
      <w:r w:rsidRPr="00DD1154">
        <w:rPr>
          <w:b/>
        </w:rPr>
        <w:t xml:space="preserve"> </w:t>
      </w:r>
      <w:r w:rsidR="006C04A7" w:rsidRPr="00DD1154">
        <w:rPr>
          <w:b/>
        </w:rPr>
        <w:t>kn</w:t>
      </w:r>
    </w:p>
    <w:p w14:paraId="4E80A7BF" w14:textId="352C2E93" w:rsidR="0060287F" w:rsidRPr="00DD1154" w:rsidRDefault="0060287F" w:rsidP="008D4D94">
      <w:pPr>
        <w:pStyle w:val="ListParagraph"/>
        <w:numPr>
          <w:ilvl w:val="0"/>
          <w:numId w:val="13"/>
        </w:numPr>
        <w:spacing w:after="0"/>
      </w:pPr>
      <w:r w:rsidRPr="00DD1154">
        <w:t xml:space="preserve">nabavu tri "plug in" hibridna vozila kod korisnika </w:t>
      </w:r>
      <w:r w:rsidRPr="00DD1154">
        <w:rPr>
          <w:color w:val="000000"/>
        </w:rPr>
        <w:t xml:space="preserve">JU Nacionalni park Plitvička jezera </w:t>
      </w:r>
      <w:r w:rsidRPr="00DD1154">
        <w:t xml:space="preserve">za koji je isplaćen iznos od </w:t>
      </w:r>
      <w:r w:rsidR="00272335" w:rsidRPr="00DD1154">
        <w:rPr>
          <w:b/>
        </w:rPr>
        <w:t>159.699,66</w:t>
      </w:r>
      <w:r w:rsidRPr="00DD1154">
        <w:t xml:space="preserve"> </w:t>
      </w:r>
      <w:r w:rsidR="006C04A7" w:rsidRPr="00DD1154">
        <w:t>kn</w:t>
      </w:r>
      <w:r w:rsidRPr="00DD1154">
        <w:t>.</w:t>
      </w:r>
    </w:p>
    <w:p w14:paraId="6DAF7077" w14:textId="77777777" w:rsidR="00B12A7C" w:rsidRPr="00DD1154" w:rsidRDefault="00B12A7C" w:rsidP="00B12A7C">
      <w:pPr>
        <w:spacing w:before="120" w:after="60"/>
      </w:pPr>
    </w:p>
    <w:p w14:paraId="38B01D55" w14:textId="1922F8CC" w:rsidR="0060287F" w:rsidRPr="00DD1154" w:rsidRDefault="0060287F" w:rsidP="00B12A7C">
      <w:pPr>
        <w:spacing w:before="120" w:after="60"/>
      </w:pPr>
      <w:r w:rsidRPr="00DD1154">
        <w:t>Dodatno se navodi da</w:t>
      </w:r>
      <w:r w:rsidR="0086694D" w:rsidRPr="00DD1154">
        <w:t xml:space="preserve"> je Fond tijekom 2020. godine, </w:t>
      </w:r>
      <w:r w:rsidRPr="00DD1154">
        <w:t xml:space="preserve">prihode ostvarene temeljem posebne naknade za okoliš radi nestavljanja biogoriva na tržište koristio za realizaciju projekata u sektoru promet koji se ne </w:t>
      </w:r>
      <w:r w:rsidR="00272335" w:rsidRPr="00DD1154">
        <w:t>prikazuju ovim</w:t>
      </w:r>
      <w:r w:rsidRPr="00DD1154">
        <w:t xml:space="preserve"> Izvještaj</w:t>
      </w:r>
      <w:r w:rsidR="00272335" w:rsidRPr="00DD1154">
        <w:t>em</w:t>
      </w:r>
      <w:r w:rsidRPr="00DD1154">
        <w:t>.</w:t>
      </w:r>
    </w:p>
    <w:p w14:paraId="769226BD" w14:textId="77777777" w:rsidR="00096409" w:rsidRPr="00DD1154" w:rsidRDefault="00096409" w:rsidP="008D4D94">
      <w:pPr>
        <w:spacing w:before="120" w:after="60"/>
        <w:ind w:firstLine="567"/>
        <w:rPr>
          <w:highlight w:val="yellow"/>
        </w:rPr>
      </w:pPr>
    </w:p>
    <w:p w14:paraId="0B688202" w14:textId="5F03639A" w:rsidR="00A709FD" w:rsidRPr="00DD1154" w:rsidRDefault="00A709FD" w:rsidP="008D4D94">
      <w:pPr>
        <w:spacing w:before="120" w:after="60"/>
      </w:pPr>
    </w:p>
    <w:p w14:paraId="4AAADA10" w14:textId="4DB48B2A" w:rsidR="00DC08DC" w:rsidRPr="00DD1154" w:rsidRDefault="00DC08DC" w:rsidP="005546AB">
      <w:pPr>
        <w:jc w:val="right"/>
      </w:pPr>
      <w:bookmarkStart w:id="11" w:name="_Ref456787962"/>
      <w:bookmarkEnd w:id="4"/>
      <w:r w:rsidRPr="00DD1154">
        <w:br w:type="page"/>
      </w:r>
    </w:p>
    <w:p w14:paraId="18083602" w14:textId="510AB162" w:rsidR="003C2B07" w:rsidRPr="00DD1154" w:rsidRDefault="00BB71CF" w:rsidP="008D4D94">
      <w:pPr>
        <w:pStyle w:val="Heading2"/>
        <w:rPr>
          <w:rFonts w:ascii="Times New Roman" w:hAnsi="Times New Roman" w:cs="Times New Roman"/>
          <w:sz w:val="24"/>
          <w:szCs w:val="24"/>
        </w:rPr>
      </w:pPr>
      <w:bookmarkStart w:id="12" w:name="_Toc89261073"/>
      <w:bookmarkEnd w:id="11"/>
      <w:r w:rsidRPr="00DD1154">
        <w:rPr>
          <w:rFonts w:ascii="Times New Roman" w:hAnsi="Times New Roman" w:cs="Times New Roman"/>
          <w:sz w:val="24"/>
          <w:szCs w:val="24"/>
        </w:rPr>
        <w:lastRenderedPageBreak/>
        <w:t>Smanjenje emisije stakleničkih plinova u neenergetskim sektorima (NES/OT)</w:t>
      </w:r>
      <w:bookmarkEnd w:id="12"/>
    </w:p>
    <w:p w14:paraId="64D16B9C" w14:textId="77777777" w:rsidR="00075610" w:rsidRPr="00DD1154" w:rsidRDefault="00075610" w:rsidP="008D4D94">
      <w:pPr>
        <w:spacing w:before="120" w:after="60"/>
        <w:ind w:firstLine="567"/>
      </w:pPr>
      <w:r w:rsidRPr="00DD1154">
        <w:t>Smanjenje emisije stakleničkih plinova u neenergetskim sektorima podrazumijeva emisije iz sektora:</w:t>
      </w:r>
    </w:p>
    <w:p w14:paraId="511A1936" w14:textId="77777777" w:rsidR="00075610" w:rsidRPr="00DD1154" w:rsidRDefault="00075610" w:rsidP="008D4D94">
      <w:pPr>
        <w:pStyle w:val="ListParagraph"/>
        <w:numPr>
          <w:ilvl w:val="0"/>
          <w:numId w:val="3"/>
        </w:numPr>
        <w:spacing w:after="0"/>
      </w:pPr>
      <w:r w:rsidRPr="00DD1154">
        <w:t>industrijski procesi</w:t>
      </w:r>
    </w:p>
    <w:p w14:paraId="714608C7" w14:textId="77777777" w:rsidR="00075610" w:rsidRPr="00DD1154" w:rsidRDefault="00075610" w:rsidP="008D4D94">
      <w:pPr>
        <w:pStyle w:val="ListParagraph"/>
        <w:numPr>
          <w:ilvl w:val="0"/>
          <w:numId w:val="3"/>
        </w:numPr>
        <w:spacing w:after="0"/>
      </w:pPr>
      <w:r w:rsidRPr="00DD1154">
        <w:t>uporaba opreme i/ili uređaja koji sadrže tvari koje oštećuju ozonski sloj i fluorirane stakleničke plinove te ostali proizvodi</w:t>
      </w:r>
    </w:p>
    <w:p w14:paraId="26CBA42B" w14:textId="77777777" w:rsidR="00075610" w:rsidRPr="00DD1154" w:rsidRDefault="00075610" w:rsidP="008D4D94">
      <w:pPr>
        <w:pStyle w:val="ListParagraph"/>
        <w:numPr>
          <w:ilvl w:val="0"/>
          <w:numId w:val="3"/>
        </w:numPr>
        <w:spacing w:after="0"/>
      </w:pPr>
      <w:r w:rsidRPr="00DD1154">
        <w:t>poljoprivreda</w:t>
      </w:r>
    </w:p>
    <w:p w14:paraId="76465A0A" w14:textId="2C0F95E9" w:rsidR="00075610" w:rsidRPr="00DD1154" w:rsidRDefault="00075610" w:rsidP="008D4D94">
      <w:pPr>
        <w:pStyle w:val="ListParagraph"/>
        <w:numPr>
          <w:ilvl w:val="0"/>
          <w:numId w:val="3"/>
        </w:numPr>
        <w:spacing w:after="0"/>
      </w:pPr>
      <w:r w:rsidRPr="00DD1154">
        <w:t>gospodarenje otpadom.</w:t>
      </w:r>
    </w:p>
    <w:p w14:paraId="16C5712D" w14:textId="3BF096FF" w:rsidR="00EA7E4E" w:rsidRPr="00DD1154" w:rsidRDefault="00CD4218" w:rsidP="008D4D94">
      <w:pPr>
        <w:spacing w:before="120" w:after="60"/>
        <w:ind w:firstLine="567"/>
        <w:rPr>
          <w:b/>
        </w:rPr>
      </w:pPr>
      <w:r w:rsidRPr="00DD1154">
        <w:t>Mjere koje su</w:t>
      </w:r>
      <w:r w:rsidR="000C5CE0" w:rsidRPr="00DD1154">
        <w:t xml:space="preserve"> provede</w:t>
      </w:r>
      <w:r w:rsidRPr="00DD1154">
        <w:t>ne</w:t>
      </w:r>
      <w:r w:rsidR="000C5CE0" w:rsidRPr="00DD1154">
        <w:t xml:space="preserve"> odnose se na područje gospodarenja otpad</w:t>
      </w:r>
      <w:r w:rsidR="00B65EF8" w:rsidRPr="00DD1154">
        <w:t xml:space="preserve">om i na zamjenu uporabe opreme ili </w:t>
      </w:r>
      <w:r w:rsidR="000C5CE0" w:rsidRPr="00DD1154">
        <w:t>uređaja koji sadrže tvari koje oštećuju ozonski sloj s tvarima koje su ekološki prihvatljive i ne oštećuju ozonski sloj. Uzimajući u obzir</w:t>
      </w:r>
      <w:r w:rsidR="00075610" w:rsidRPr="00DD1154">
        <w:t xml:space="preserve"> </w:t>
      </w:r>
      <w:r w:rsidR="000C5CE0" w:rsidRPr="00DD1154">
        <w:t xml:space="preserve">ukupno </w:t>
      </w:r>
      <w:r w:rsidR="00075610" w:rsidRPr="00DD1154">
        <w:t>provedene aktivnosti i fin</w:t>
      </w:r>
      <w:r w:rsidR="00725D7E" w:rsidRPr="00DD1154">
        <w:t xml:space="preserve">anciranje od strane Fonda u </w:t>
      </w:r>
      <w:r w:rsidR="005546AB" w:rsidRPr="00DD1154">
        <w:t xml:space="preserve">2019. i </w:t>
      </w:r>
      <w:r w:rsidR="00725D7E" w:rsidRPr="00DD1154">
        <w:t>2020</w:t>
      </w:r>
      <w:r w:rsidR="00EA7E4E" w:rsidRPr="00DD1154">
        <w:t>. godini</w:t>
      </w:r>
      <w:r w:rsidR="000C5CE0" w:rsidRPr="00DD1154">
        <w:rPr>
          <w:b/>
        </w:rPr>
        <w:t xml:space="preserve"> </w:t>
      </w:r>
      <w:r w:rsidR="00B65EF8" w:rsidRPr="00DD1154">
        <w:rPr>
          <w:b/>
        </w:rPr>
        <w:t xml:space="preserve">za mjeru NES/OT </w:t>
      </w:r>
      <w:r w:rsidR="000C5CE0" w:rsidRPr="00DD1154">
        <w:rPr>
          <w:b/>
        </w:rPr>
        <w:t xml:space="preserve">isplaćeno </w:t>
      </w:r>
      <w:r w:rsidR="00EA7E4E" w:rsidRPr="00DD1154">
        <w:rPr>
          <w:b/>
        </w:rPr>
        <w:t xml:space="preserve">je </w:t>
      </w:r>
      <w:r w:rsidR="005546AB" w:rsidRPr="00DD1154">
        <w:rPr>
          <w:rFonts w:eastAsia="Times New Roman"/>
          <w:b/>
          <w:lang w:eastAsia="hr-HR"/>
        </w:rPr>
        <w:t>22.086.989,37</w:t>
      </w:r>
      <w:r w:rsidR="00725D7E" w:rsidRPr="00DD1154">
        <w:rPr>
          <w:rFonts w:eastAsia="Times New Roman"/>
          <w:lang w:eastAsia="hr-HR"/>
        </w:rPr>
        <w:t xml:space="preserve"> </w:t>
      </w:r>
      <w:r w:rsidR="005546AB" w:rsidRPr="00DD1154">
        <w:rPr>
          <w:b/>
        </w:rPr>
        <w:t>kn</w:t>
      </w:r>
      <w:r w:rsidR="003C2B07" w:rsidRPr="00DD1154">
        <w:rPr>
          <w:b/>
        </w:rPr>
        <w:t xml:space="preserve"> za ukupno </w:t>
      </w:r>
      <w:r w:rsidR="006262B4" w:rsidRPr="00DD1154">
        <w:rPr>
          <w:b/>
        </w:rPr>
        <w:t>5</w:t>
      </w:r>
      <w:r w:rsidR="00FD0686" w:rsidRPr="00DD1154">
        <w:rPr>
          <w:b/>
        </w:rPr>
        <w:t>2</w:t>
      </w:r>
      <w:r w:rsidR="005546AB" w:rsidRPr="00DD1154">
        <w:rPr>
          <w:b/>
        </w:rPr>
        <w:t xml:space="preserve"> projek</w:t>
      </w:r>
      <w:r w:rsidR="00FD0686" w:rsidRPr="00DD1154">
        <w:rPr>
          <w:b/>
        </w:rPr>
        <w:t>a</w:t>
      </w:r>
      <w:r w:rsidR="005546AB" w:rsidRPr="00DD1154">
        <w:rPr>
          <w:b/>
        </w:rPr>
        <w:t>t</w:t>
      </w:r>
      <w:r w:rsidR="006262B4" w:rsidRPr="00DD1154">
        <w:rPr>
          <w:b/>
        </w:rPr>
        <w:t>a</w:t>
      </w:r>
      <w:r w:rsidR="00EA7E4E" w:rsidRPr="00DD1154">
        <w:rPr>
          <w:b/>
        </w:rPr>
        <w:t>.</w:t>
      </w:r>
    </w:p>
    <w:p w14:paraId="082245B4" w14:textId="2EE0135B" w:rsidR="00075610" w:rsidRPr="00DD1154" w:rsidRDefault="00EA7E4E" w:rsidP="008D4D94">
      <w:pPr>
        <w:spacing w:before="60" w:after="60"/>
        <w:ind w:firstLine="567"/>
        <w:rPr>
          <w:b/>
        </w:rPr>
      </w:pPr>
      <w:r w:rsidRPr="00DD1154">
        <w:rPr>
          <w:b/>
        </w:rPr>
        <w:t>Iz sektora</w:t>
      </w:r>
      <w:r w:rsidR="001E7EFA" w:rsidRPr="00DD1154">
        <w:rPr>
          <w:b/>
        </w:rPr>
        <w:t xml:space="preserve"> gospodar</w:t>
      </w:r>
      <w:r w:rsidR="000C5CE0" w:rsidRPr="00DD1154">
        <w:rPr>
          <w:b/>
        </w:rPr>
        <w:t>enje otp</w:t>
      </w:r>
      <w:r w:rsidRPr="00DD1154">
        <w:rPr>
          <w:b/>
        </w:rPr>
        <w:t xml:space="preserve">adom realizirano je </w:t>
      </w:r>
      <w:r w:rsidR="005546AB" w:rsidRPr="00DD1154">
        <w:rPr>
          <w:b/>
        </w:rPr>
        <w:t>11.928.872,21</w:t>
      </w:r>
      <w:r w:rsidRPr="00DD1154">
        <w:rPr>
          <w:b/>
        </w:rPr>
        <w:t xml:space="preserve"> </w:t>
      </w:r>
      <w:r w:rsidR="005546AB" w:rsidRPr="00DD1154">
        <w:rPr>
          <w:b/>
        </w:rPr>
        <w:t>kn</w:t>
      </w:r>
      <w:r w:rsidRPr="00DD1154">
        <w:rPr>
          <w:b/>
        </w:rPr>
        <w:t xml:space="preserve"> </w:t>
      </w:r>
      <w:r w:rsidRPr="00DD1154">
        <w:t xml:space="preserve">koji se odnose na </w:t>
      </w:r>
      <w:r w:rsidR="006262B4" w:rsidRPr="00DD1154">
        <w:rPr>
          <w:b/>
        </w:rPr>
        <w:t>5</w:t>
      </w:r>
      <w:r w:rsidR="00FD0686" w:rsidRPr="00DD1154">
        <w:rPr>
          <w:b/>
        </w:rPr>
        <w:t>1</w:t>
      </w:r>
      <w:r w:rsidRPr="00DD1154">
        <w:rPr>
          <w:b/>
        </w:rPr>
        <w:t xml:space="preserve"> projekta</w:t>
      </w:r>
      <w:r w:rsidR="001E7EFA" w:rsidRPr="00DD1154">
        <w:rPr>
          <w:b/>
        </w:rPr>
        <w:t xml:space="preserve"> </w:t>
      </w:r>
      <w:r w:rsidR="00075610" w:rsidRPr="00DD1154">
        <w:t>koji prate hijerarhiju gospodarenja otpadom i u skladu su s Planom gospodarenja otpadom Republike Hrvatske za razdoblje 2017. – 2022. godine.</w:t>
      </w:r>
    </w:p>
    <w:p w14:paraId="05BF6D6C" w14:textId="5FE85DEB" w:rsidR="00075610" w:rsidRPr="00DD1154" w:rsidRDefault="00075610" w:rsidP="008D4D94">
      <w:pPr>
        <w:spacing w:before="120" w:after="60"/>
        <w:ind w:firstLine="567"/>
      </w:pPr>
      <w:r w:rsidRPr="00DD1154">
        <w:t>Riječ je o sl</w:t>
      </w:r>
      <w:r w:rsidR="00B0094A" w:rsidRPr="00DD1154">
        <w:t>i</w:t>
      </w:r>
      <w:r w:rsidRPr="00DD1154">
        <w:t>jedećim projektima koji su razvrstani po pojedinim podmjerama u sektoru gospodarenja otpadom:</w:t>
      </w:r>
    </w:p>
    <w:p w14:paraId="36DAE0E4" w14:textId="4A1A3557" w:rsidR="00D14784" w:rsidRPr="00DD1154" w:rsidRDefault="00D14784" w:rsidP="00D14784">
      <w:pPr>
        <w:pStyle w:val="ListParagraph"/>
        <w:numPr>
          <w:ilvl w:val="0"/>
          <w:numId w:val="3"/>
        </w:numPr>
        <w:spacing w:after="0"/>
      </w:pPr>
      <w:r w:rsidRPr="00DD1154">
        <w:rPr>
          <w:snapToGrid w:val="0"/>
        </w:rPr>
        <w:t>P</w:t>
      </w:r>
      <w:r w:rsidR="00604799" w:rsidRPr="00DD1154">
        <w:rPr>
          <w:snapToGrid w:val="0"/>
        </w:rPr>
        <w:t>onovna uporaba jedna je od mjera sprječavanja nastanka otpada, odnosno ponovna uporaba podrazumijeva ponovno korištenje proizvoda u svrhu za koju su bili izvorno namijenjeni. Sukl</w:t>
      </w:r>
      <w:r w:rsidR="006C46B4" w:rsidRPr="00DD1154">
        <w:rPr>
          <w:snapToGrid w:val="0"/>
        </w:rPr>
        <w:t>adno tome, Fond je objavio javni natječaj</w:t>
      </w:r>
      <w:r w:rsidR="00604799" w:rsidRPr="00DD1154">
        <w:rPr>
          <w:snapToGrid w:val="0"/>
        </w:rPr>
        <w:t xml:space="preserve"> za ponovnu uporabu proizvoda za projekte organizacija civilnog društva (udruga) i javni poziv za zadruge kojima se doprinosi smanjenju pritisaka na okoliš koje uzrokuje proizvodnja novog i često manje trajnog proizvoda, razvoju pozitivnog stava prema “zelenom” gospodarstvu i razvoju lokalnih partnerskih modela. Također istim javnim natječajem sufinancirane su ekološke akcije čišćenja podmorja. </w:t>
      </w:r>
      <w:r w:rsidR="00604799" w:rsidRPr="00DD1154">
        <w:rPr>
          <w:noProof/>
          <w:snapToGrid w:val="0"/>
        </w:rPr>
        <w:t>Primjenom navedene mjere akcijama i projektima organiziranim na lokalnoj razini djeluje se na smanjivanje namjernog ili slučajnog unosa otpada u morski ekosustav, čime se značajno smanjuje rizik negativnog utjecaja na morska staništa i morske organizme</w:t>
      </w:r>
      <w:r w:rsidR="00956A4D" w:rsidRPr="00DD1154">
        <w:rPr>
          <w:noProof/>
          <w:snapToGrid w:val="0"/>
        </w:rPr>
        <w:t xml:space="preserve">. Po provedenom javnom natječaju </w:t>
      </w:r>
      <w:r w:rsidR="006C46B4" w:rsidRPr="00DD1154">
        <w:rPr>
          <w:noProof/>
          <w:snapToGrid w:val="0"/>
        </w:rPr>
        <w:t>u</w:t>
      </w:r>
      <w:r w:rsidR="00604799" w:rsidRPr="00DD1154">
        <w:rPr>
          <w:noProof/>
          <w:snapToGrid w:val="0"/>
        </w:rPr>
        <w:t xml:space="preserve">govorena su </w:t>
      </w:r>
      <w:r w:rsidR="000E3522" w:rsidRPr="00DD1154">
        <w:rPr>
          <w:noProof/>
          <w:snapToGrid w:val="0"/>
        </w:rPr>
        <w:t xml:space="preserve">ukupno </w:t>
      </w:r>
      <w:r w:rsidR="00604799" w:rsidRPr="00DD1154">
        <w:rPr>
          <w:noProof/>
          <w:snapToGrid w:val="0"/>
        </w:rPr>
        <w:t>63 projekta</w:t>
      </w:r>
      <w:r w:rsidR="000E3522" w:rsidRPr="00DD1154">
        <w:rPr>
          <w:noProof/>
          <w:snapToGrid w:val="0"/>
        </w:rPr>
        <w:t xml:space="preserve"> od čega je</w:t>
      </w:r>
      <w:r w:rsidR="00A30051" w:rsidRPr="00DD1154">
        <w:rPr>
          <w:noProof/>
          <w:snapToGrid w:val="0"/>
        </w:rPr>
        <w:t xml:space="preserve"> u 2020 godini</w:t>
      </w:r>
      <w:r w:rsidR="000E3522" w:rsidRPr="00DD1154">
        <w:t xml:space="preserve"> isplaćeno</w:t>
      </w:r>
      <w:r w:rsidR="00604799" w:rsidRPr="00DD1154">
        <w:t xml:space="preserve"> 822.6</w:t>
      </w:r>
      <w:r w:rsidR="006C46B4" w:rsidRPr="00DD1154">
        <w:t xml:space="preserve">39,43 </w:t>
      </w:r>
      <w:r w:rsidR="000E3522" w:rsidRPr="00DD1154">
        <w:t>kn</w:t>
      </w:r>
      <w:r w:rsidR="006C46B4" w:rsidRPr="00DD1154">
        <w:t xml:space="preserve"> za </w:t>
      </w:r>
      <w:r w:rsidR="006C46B4" w:rsidRPr="00DD1154">
        <w:rPr>
          <w:b/>
          <w:bCs/>
        </w:rPr>
        <w:t>ukupno 28 projekta</w:t>
      </w:r>
      <w:r w:rsidR="00604799" w:rsidRPr="00DD1154">
        <w:rPr>
          <w:b/>
          <w:bCs/>
        </w:rPr>
        <w:t>.</w:t>
      </w:r>
      <w:r w:rsidR="00A30051" w:rsidRPr="00DD1154">
        <w:t xml:space="preserve"> Ostatak nerealiziranih (neisplaćenih) sredstava realizirati će se dinamikom realizacije projekata</w:t>
      </w:r>
      <w:r w:rsidR="00B53F4E" w:rsidRPr="00DD1154">
        <w:t xml:space="preserve"> tijekom 2021. godine o čemu će se izvijestiti u narednom izvješću.</w:t>
      </w:r>
    </w:p>
    <w:p w14:paraId="1BD57019" w14:textId="08024AA0" w:rsidR="00075610" w:rsidRPr="00DD1154" w:rsidRDefault="00D14784" w:rsidP="008D4D94">
      <w:pPr>
        <w:pStyle w:val="ListParagraph"/>
        <w:numPr>
          <w:ilvl w:val="0"/>
          <w:numId w:val="3"/>
        </w:numPr>
        <w:spacing w:after="0"/>
      </w:pPr>
      <w:r w:rsidRPr="00DD1154">
        <w:t>N</w:t>
      </w:r>
      <w:r w:rsidR="00075610" w:rsidRPr="00DD1154">
        <w:t xml:space="preserve">a podmjeru povećanje količine odvojeno skupljenog i </w:t>
      </w:r>
      <w:r w:rsidR="00604799" w:rsidRPr="00DD1154">
        <w:t>recikliranog otpada odnos</w:t>
      </w:r>
      <w:r w:rsidR="0012483C" w:rsidRPr="00DD1154">
        <w:t>i se</w:t>
      </w:r>
      <w:r w:rsidR="00604799" w:rsidRPr="00DD1154">
        <w:t xml:space="preserve"> </w:t>
      </w:r>
      <w:r w:rsidR="0012483C" w:rsidRPr="00DD1154">
        <w:rPr>
          <w:b/>
          <w:bCs/>
        </w:rPr>
        <w:t xml:space="preserve">5 </w:t>
      </w:r>
      <w:r w:rsidR="00604799" w:rsidRPr="00DD1154">
        <w:rPr>
          <w:b/>
          <w:bCs/>
        </w:rPr>
        <w:t>projek</w:t>
      </w:r>
      <w:r w:rsidR="0012483C" w:rsidRPr="00DD1154">
        <w:rPr>
          <w:b/>
          <w:bCs/>
        </w:rPr>
        <w:t>a</w:t>
      </w:r>
      <w:r w:rsidR="00604799" w:rsidRPr="00DD1154">
        <w:rPr>
          <w:b/>
          <w:bCs/>
        </w:rPr>
        <w:t>t</w:t>
      </w:r>
      <w:r w:rsidR="0012483C" w:rsidRPr="00DD1154">
        <w:rPr>
          <w:b/>
          <w:bCs/>
        </w:rPr>
        <w:t>a</w:t>
      </w:r>
      <w:r w:rsidR="00075610" w:rsidRPr="00DD1154">
        <w:t xml:space="preserve"> na temu izrade projektne dokumentacije za ishođenje građevinske dozvole u cilju građenja</w:t>
      </w:r>
      <w:r w:rsidR="00604799" w:rsidRPr="00DD1154">
        <w:t xml:space="preserve"> reciklažnog dvorišta, korisni</w:t>
      </w:r>
      <w:r w:rsidR="0012483C" w:rsidRPr="00DD1154">
        <w:t>ci su općine Pokupsko, Martinska Ves, Vrbik,</w:t>
      </w:r>
      <w:r w:rsidR="00BC432E" w:rsidRPr="00DD1154">
        <w:t xml:space="preserve"> </w:t>
      </w:r>
      <w:r w:rsidR="00604799" w:rsidRPr="00DD1154">
        <w:t>Murter – Kornati</w:t>
      </w:r>
      <w:r w:rsidR="0012483C" w:rsidRPr="00DD1154">
        <w:t xml:space="preserve"> te grad Slunj.</w:t>
      </w:r>
    </w:p>
    <w:p w14:paraId="63DAD4AF" w14:textId="00C9CF38" w:rsidR="006B4261" w:rsidRPr="00DD1154" w:rsidRDefault="003B2F7A" w:rsidP="003B2F7A">
      <w:pPr>
        <w:pStyle w:val="ListParagraph"/>
        <w:numPr>
          <w:ilvl w:val="0"/>
          <w:numId w:val="3"/>
        </w:numPr>
      </w:pPr>
      <w:r w:rsidRPr="00DD1154">
        <w:t xml:space="preserve">na podmjeri smanjenje količine odloženog biorazgradivog otpada ugovorena su 28 projekta, međutim kako na </w:t>
      </w:r>
      <w:r w:rsidR="00BA31AD" w:rsidRPr="00DD1154">
        <w:t>svim zatvorenim odlagalištima neopasnog otpada nisu istovremeno započeli radovi, tijekom 2019. i 2020. radovi na sanaciji su realizirani na</w:t>
      </w:r>
      <w:r w:rsidRPr="00DD1154">
        <w:t xml:space="preserve"> </w:t>
      </w:r>
      <w:r w:rsidRPr="00DD1154">
        <w:rPr>
          <w:b/>
          <w:bCs/>
        </w:rPr>
        <w:t>18 projekta</w:t>
      </w:r>
      <w:r w:rsidRPr="00DD1154">
        <w:t xml:space="preserve"> </w:t>
      </w:r>
      <w:r w:rsidR="00BA31AD" w:rsidRPr="00DD1154">
        <w:t xml:space="preserve">kako je navedeno u </w:t>
      </w:r>
      <w:r w:rsidR="005C2F42" w:rsidRPr="00DD1154">
        <w:rPr>
          <w:b/>
        </w:rPr>
        <w:t>Tablici 2.1.</w:t>
      </w:r>
      <w:r w:rsidR="00BA31AD" w:rsidRPr="00DD1154">
        <w:t xml:space="preserve"> </w:t>
      </w:r>
      <w:r w:rsidR="006B4261" w:rsidRPr="00DD1154">
        <w:t>Sanacije</w:t>
      </w:r>
      <w:r w:rsidRPr="00DD1154">
        <w:t xml:space="preserve"> se financiraju bespovratnim EU sredstvima u iznosu od 85</w:t>
      </w:r>
      <w:r w:rsidR="00485B28" w:rsidRPr="00DD1154">
        <w:t xml:space="preserve"> </w:t>
      </w:r>
      <w:r w:rsidRPr="00DD1154">
        <w:t>% u okviru OPKK dok Fond osigurava nacionalnu komponentu u iznosu od 10</w:t>
      </w:r>
      <w:r w:rsidR="00485B28" w:rsidRPr="00DD1154">
        <w:t xml:space="preserve"> </w:t>
      </w:r>
      <w:r w:rsidRPr="00DD1154">
        <w:t>% prihvatljivih troškova, a razliku od 5</w:t>
      </w:r>
      <w:r w:rsidR="00485B28" w:rsidRPr="00DD1154">
        <w:t xml:space="preserve"> </w:t>
      </w:r>
      <w:r w:rsidRPr="00DD1154">
        <w:t xml:space="preserve">% osigurava korisnik. </w:t>
      </w:r>
    </w:p>
    <w:p w14:paraId="7B052155" w14:textId="76C49036" w:rsidR="006B4261" w:rsidRPr="00DD1154" w:rsidRDefault="006B4261" w:rsidP="006B4261">
      <w:pPr>
        <w:pStyle w:val="ListParagraph"/>
      </w:pPr>
      <w:r w:rsidRPr="00DD1154">
        <w:lastRenderedPageBreak/>
        <w:t>U dvogodišnjem izvještajnom razdoblju isplaćeno je 10.227.816,58 za 18 pr</w:t>
      </w:r>
      <w:r w:rsidR="00596EDF" w:rsidRPr="00DD1154">
        <w:t xml:space="preserve">ojekata kako slijedi u </w:t>
      </w:r>
      <w:r w:rsidR="00596EDF" w:rsidRPr="00DD1154">
        <w:rPr>
          <w:b/>
        </w:rPr>
        <w:t>Tablici 2.1.</w:t>
      </w:r>
      <w:r w:rsidR="008D6E6D" w:rsidRPr="00DD1154">
        <w:t xml:space="preserve"> Preostala obveza realizirati će se sukl</w:t>
      </w:r>
      <w:r w:rsidR="00596EDF" w:rsidRPr="00DD1154">
        <w:t>adno dinamici provedbe sanacije koje moraju biti realizirane do 31. prosinca 2023. godine kada završava razdoblje financiranja</w:t>
      </w:r>
      <w:r w:rsidR="008D6E6D" w:rsidRPr="00DD1154">
        <w:t xml:space="preserve"> iz OPKK 2014. – 2020.</w:t>
      </w:r>
    </w:p>
    <w:p w14:paraId="5365FCFC" w14:textId="1204A181" w:rsidR="003B2F7A" w:rsidRPr="00DD1154" w:rsidRDefault="00596EDF" w:rsidP="003B2F7A">
      <w:pPr>
        <w:spacing w:after="0"/>
      </w:pPr>
      <w:r w:rsidRPr="00DD1154">
        <w:rPr>
          <w:b/>
        </w:rPr>
        <w:t>Tablica 2.1</w:t>
      </w:r>
      <w:r w:rsidR="008D6E6D" w:rsidRPr="00DD1154">
        <w:t>.: Projekti sanacije zatvorenih odlagališta neopasnog otpada</w:t>
      </w:r>
    </w:p>
    <w:tbl>
      <w:tblPr>
        <w:tblW w:w="9498" w:type="dxa"/>
        <w:tblInd w:w="-436" w:type="dxa"/>
        <w:tblLook w:val="04A0" w:firstRow="1" w:lastRow="0" w:firstColumn="1" w:lastColumn="0" w:noHBand="0" w:noVBand="1"/>
      </w:tblPr>
      <w:tblGrid>
        <w:gridCol w:w="565"/>
        <w:gridCol w:w="2111"/>
        <w:gridCol w:w="1438"/>
        <w:gridCol w:w="1481"/>
        <w:gridCol w:w="1371"/>
        <w:gridCol w:w="1371"/>
        <w:gridCol w:w="1481"/>
      </w:tblGrid>
      <w:tr w:rsidR="00740432" w:rsidRPr="00DD1154" w14:paraId="39110F88" w14:textId="77777777" w:rsidTr="00740432">
        <w:trPr>
          <w:trHeight w:val="615"/>
        </w:trPr>
        <w:tc>
          <w:tcPr>
            <w:tcW w:w="5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A73707"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BR.</w:t>
            </w:r>
          </w:p>
        </w:tc>
        <w:tc>
          <w:tcPr>
            <w:tcW w:w="1856" w:type="dxa"/>
            <w:tcBorders>
              <w:top w:val="single" w:sz="8" w:space="0" w:color="auto"/>
              <w:left w:val="nil"/>
              <w:bottom w:val="single" w:sz="8" w:space="0" w:color="auto"/>
              <w:right w:val="single" w:sz="8" w:space="0" w:color="auto"/>
            </w:tcBorders>
            <w:shd w:val="clear" w:color="auto" w:fill="auto"/>
            <w:vAlign w:val="center"/>
            <w:hideMark/>
          </w:tcPr>
          <w:p w14:paraId="4BF6B519" w14:textId="77777777" w:rsidR="003B2F7A" w:rsidRPr="00DD1154" w:rsidRDefault="003B2F7A" w:rsidP="000D78B7">
            <w:pPr>
              <w:spacing w:after="0" w:line="240" w:lineRule="auto"/>
              <w:jc w:val="center"/>
              <w:rPr>
                <w:rFonts w:eastAsia="Times New Roman"/>
                <w:b/>
                <w:bCs/>
                <w:color w:val="000000"/>
                <w:sz w:val="22"/>
                <w:szCs w:val="22"/>
                <w:lang w:eastAsia="hr-HR"/>
              </w:rPr>
            </w:pPr>
            <w:r w:rsidRPr="00DD1154">
              <w:rPr>
                <w:rFonts w:eastAsia="Times New Roman"/>
                <w:b/>
                <w:bCs/>
                <w:color w:val="000000"/>
                <w:sz w:val="22"/>
                <w:szCs w:val="22"/>
                <w:lang w:eastAsia="hr-HR"/>
              </w:rPr>
              <w:t>JLS</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14:paraId="528E6AB4" w14:textId="0860F094" w:rsidR="003B2F7A" w:rsidRPr="00DD1154" w:rsidRDefault="003B2F7A" w:rsidP="006C04A7">
            <w:pPr>
              <w:spacing w:after="0" w:line="240" w:lineRule="auto"/>
              <w:jc w:val="left"/>
              <w:rPr>
                <w:rFonts w:eastAsia="Times New Roman"/>
                <w:b/>
                <w:bCs/>
                <w:color w:val="000000"/>
                <w:sz w:val="22"/>
                <w:szCs w:val="22"/>
                <w:lang w:eastAsia="hr-HR"/>
              </w:rPr>
            </w:pPr>
            <w:r w:rsidRPr="00DD1154">
              <w:rPr>
                <w:rFonts w:eastAsia="Times New Roman"/>
                <w:b/>
                <w:bCs/>
                <w:color w:val="000000"/>
                <w:sz w:val="22"/>
                <w:szCs w:val="22"/>
                <w:lang w:eastAsia="hr-HR"/>
              </w:rPr>
              <w:t>O</w:t>
            </w:r>
            <w:r w:rsidR="006C04A7" w:rsidRPr="00DD1154">
              <w:rPr>
                <w:rFonts w:eastAsia="Times New Roman"/>
                <w:b/>
                <w:bCs/>
                <w:color w:val="000000"/>
                <w:sz w:val="22"/>
                <w:szCs w:val="22"/>
                <w:lang w:eastAsia="hr-HR"/>
              </w:rPr>
              <w:t>dlagalište</w:t>
            </w:r>
          </w:p>
        </w:tc>
        <w:tc>
          <w:tcPr>
            <w:tcW w:w="1523" w:type="dxa"/>
            <w:tcBorders>
              <w:top w:val="single" w:sz="8" w:space="0" w:color="auto"/>
              <w:left w:val="nil"/>
              <w:bottom w:val="single" w:sz="8" w:space="0" w:color="auto"/>
              <w:right w:val="single" w:sz="8" w:space="0" w:color="auto"/>
            </w:tcBorders>
            <w:shd w:val="clear" w:color="auto" w:fill="auto"/>
            <w:vAlign w:val="center"/>
            <w:hideMark/>
          </w:tcPr>
          <w:p w14:paraId="3CA06770" w14:textId="390DAA17" w:rsidR="003B2F7A" w:rsidRPr="00DD1154" w:rsidRDefault="006C04A7" w:rsidP="000D78B7">
            <w:pPr>
              <w:spacing w:after="0" w:line="240" w:lineRule="auto"/>
              <w:jc w:val="center"/>
              <w:rPr>
                <w:rFonts w:eastAsia="Times New Roman"/>
                <w:b/>
                <w:bCs/>
                <w:color w:val="000000"/>
                <w:sz w:val="22"/>
                <w:szCs w:val="22"/>
                <w:lang w:eastAsia="hr-HR"/>
              </w:rPr>
            </w:pPr>
            <w:r w:rsidRPr="00DD1154">
              <w:rPr>
                <w:rFonts w:eastAsia="Times New Roman"/>
                <w:b/>
                <w:bCs/>
                <w:color w:val="000000"/>
                <w:sz w:val="22"/>
                <w:szCs w:val="22"/>
                <w:lang w:eastAsia="hr-HR"/>
              </w:rPr>
              <w:t>D</w:t>
            </w:r>
            <w:r w:rsidR="003B2F7A" w:rsidRPr="00DD1154">
              <w:rPr>
                <w:rFonts w:eastAsia="Times New Roman"/>
                <w:b/>
                <w:bCs/>
                <w:color w:val="000000"/>
                <w:sz w:val="22"/>
                <w:szCs w:val="22"/>
                <w:lang w:eastAsia="hr-HR"/>
              </w:rPr>
              <w:t>od</w:t>
            </w:r>
            <w:r w:rsidR="00740432" w:rsidRPr="00DD1154">
              <w:rPr>
                <w:rFonts w:eastAsia="Times New Roman"/>
                <w:b/>
                <w:bCs/>
                <w:color w:val="000000"/>
                <w:sz w:val="22"/>
                <w:szCs w:val="22"/>
                <w:lang w:eastAsia="hr-HR"/>
              </w:rPr>
              <w:t>i</w:t>
            </w:r>
            <w:r w:rsidR="003B2F7A" w:rsidRPr="00DD1154">
              <w:rPr>
                <w:rFonts w:eastAsia="Times New Roman"/>
                <w:b/>
                <w:bCs/>
                <w:color w:val="000000"/>
                <w:sz w:val="22"/>
                <w:szCs w:val="22"/>
                <w:lang w:eastAsia="hr-HR"/>
              </w:rPr>
              <w:t>jeljeno</w:t>
            </w:r>
          </w:p>
        </w:tc>
        <w:tc>
          <w:tcPr>
            <w:tcW w:w="1394" w:type="dxa"/>
            <w:tcBorders>
              <w:top w:val="single" w:sz="8" w:space="0" w:color="auto"/>
              <w:left w:val="nil"/>
              <w:bottom w:val="single" w:sz="8" w:space="0" w:color="auto"/>
              <w:right w:val="single" w:sz="8" w:space="0" w:color="auto"/>
            </w:tcBorders>
            <w:shd w:val="clear" w:color="auto" w:fill="auto"/>
            <w:vAlign w:val="center"/>
            <w:hideMark/>
          </w:tcPr>
          <w:p w14:paraId="70AD0AAD" w14:textId="2B51561E" w:rsidR="003B2F7A" w:rsidRPr="00DD1154" w:rsidRDefault="003B2F7A" w:rsidP="000D78B7">
            <w:pPr>
              <w:spacing w:after="0" w:line="240" w:lineRule="auto"/>
              <w:jc w:val="center"/>
              <w:rPr>
                <w:rFonts w:eastAsia="Times New Roman"/>
                <w:b/>
                <w:bCs/>
                <w:color w:val="000000"/>
                <w:sz w:val="22"/>
                <w:szCs w:val="22"/>
                <w:lang w:eastAsia="hr-HR"/>
              </w:rPr>
            </w:pPr>
            <w:r w:rsidRPr="00DD1154">
              <w:rPr>
                <w:rFonts w:eastAsia="Times New Roman"/>
                <w:b/>
                <w:bCs/>
                <w:color w:val="000000"/>
                <w:sz w:val="22"/>
                <w:szCs w:val="22"/>
                <w:lang w:eastAsia="hr-HR"/>
              </w:rPr>
              <w:t>2019</w:t>
            </w:r>
            <w:r w:rsidR="006C04A7" w:rsidRPr="00DD1154">
              <w:rPr>
                <w:rFonts w:eastAsia="Times New Roman"/>
                <w:b/>
                <w:bCs/>
                <w:color w:val="000000"/>
                <w:sz w:val="22"/>
                <w:szCs w:val="22"/>
                <w:lang w:eastAsia="hr-HR"/>
              </w:rPr>
              <w:t>.</w:t>
            </w:r>
          </w:p>
        </w:tc>
        <w:tc>
          <w:tcPr>
            <w:tcW w:w="1394" w:type="dxa"/>
            <w:tcBorders>
              <w:top w:val="single" w:sz="8" w:space="0" w:color="auto"/>
              <w:left w:val="nil"/>
              <w:bottom w:val="single" w:sz="8" w:space="0" w:color="auto"/>
              <w:right w:val="single" w:sz="8" w:space="0" w:color="auto"/>
            </w:tcBorders>
            <w:shd w:val="clear" w:color="auto" w:fill="auto"/>
            <w:vAlign w:val="center"/>
            <w:hideMark/>
          </w:tcPr>
          <w:p w14:paraId="397F8AA1" w14:textId="1FEBD38E" w:rsidR="003B2F7A" w:rsidRPr="00DD1154" w:rsidRDefault="003B2F7A" w:rsidP="000D78B7">
            <w:pPr>
              <w:spacing w:after="0" w:line="240" w:lineRule="auto"/>
              <w:jc w:val="center"/>
              <w:rPr>
                <w:rFonts w:eastAsia="Times New Roman"/>
                <w:b/>
                <w:bCs/>
                <w:color w:val="000000"/>
                <w:sz w:val="22"/>
                <w:szCs w:val="22"/>
                <w:lang w:eastAsia="hr-HR"/>
              </w:rPr>
            </w:pPr>
            <w:r w:rsidRPr="00DD1154">
              <w:rPr>
                <w:rFonts w:eastAsia="Times New Roman"/>
                <w:b/>
                <w:bCs/>
                <w:color w:val="000000"/>
                <w:sz w:val="22"/>
                <w:szCs w:val="22"/>
                <w:lang w:eastAsia="hr-HR"/>
              </w:rPr>
              <w:t>2020</w:t>
            </w:r>
            <w:r w:rsidR="006C04A7" w:rsidRPr="00DD1154">
              <w:rPr>
                <w:rFonts w:eastAsia="Times New Roman"/>
                <w:b/>
                <w:bCs/>
                <w:color w:val="000000"/>
                <w:sz w:val="22"/>
                <w:szCs w:val="22"/>
                <w:lang w:eastAsia="hr-HR"/>
              </w:rPr>
              <w:t>.</w:t>
            </w:r>
          </w:p>
        </w:tc>
        <w:tc>
          <w:tcPr>
            <w:tcW w:w="1344" w:type="dxa"/>
            <w:tcBorders>
              <w:top w:val="single" w:sz="8" w:space="0" w:color="auto"/>
              <w:left w:val="nil"/>
              <w:bottom w:val="single" w:sz="8" w:space="0" w:color="auto"/>
              <w:right w:val="single" w:sz="8" w:space="0" w:color="auto"/>
            </w:tcBorders>
            <w:shd w:val="clear" w:color="auto" w:fill="auto"/>
            <w:vAlign w:val="center"/>
            <w:hideMark/>
          </w:tcPr>
          <w:p w14:paraId="6CF61F06" w14:textId="7ABE31CB" w:rsidR="003B2F7A" w:rsidRPr="00DD1154" w:rsidRDefault="006C04A7" w:rsidP="006C04A7">
            <w:pPr>
              <w:spacing w:after="0" w:line="240" w:lineRule="auto"/>
              <w:jc w:val="center"/>
              <w:rPr>
                <w:rFonts w:eastAsia="Times New Roman"/>
                <w:b/>
                <w:bCs/>
                <w:color w:val="000000"/>
                <w:sz w:val="22"/>
                <w:szCs w:val="22"/>
                <w:lang w:eastAsia="hr-HR"/>
              </w:rPr>
            </w:pPr>
            <w:r w:rsidRPr="00DD1154">
              <w:rPr>
                <w:rFonts w:eastAsia="Times New Roman"/>
                <w:b/>
                <w:bCs/>
                <w:color w:val="000000"/>
                <w:sz w:val="22"/>
                <w:szCs w:val="22"/>
                <w:lang w:eastAsia="hr-HR"/>
              </w:rPr>
              <w:t>P</w:t>
            </w:r>
            <w:r w:rsidR="003B2F7A" w:rsidRPr="00DD1154">
              <w:rPr>
                <w:rFonts w:eastAsia="Times New Roman"/>
                <w:b/>
                <w:bCs/>
                <w:color w:val="000000"/>
                <w:sz w:val="22"/>
                <w:szCs w:val="22"/>
                <w:lang w:eastAsia="hr-HR"/>
              </w:rPr>
              <w:t>reostal</w:t>
            </w:r>
            <w:r w:rsidRPr="00DD1154">
              <w:rPr>
                <w:rFonts w:eastAsia="Times New Roman"/>
                <w:b/>
                <w:bCs/>
                <w:color w:val="000000"/>
                <w:sz w:val="22"/>
                <w:szCs w:val="22"/>
                <w:lang w:eastAsia="hr-HR"/>
              </w:rPr>
              <w:t>e</w:t>
            </w:r>
            <w:r w:rsidR="003B2F7A" w:rsidRPr="00DD1154">
              <w:rPr>
                <w:rFonts w:eastAsia="Times New Roman"/>
                <w:b/>
                <w:bCs/>
                <w:color w:val="000000"/>
                <w:sz w:val="22"/>
                <w:szCs w:val="22"/>
                <w:lang w:eastAsia="hr-HR"/>
              </w:rPr>
              <w:t xml:space="preserve"> obvez</w:t>
            </w:r>
            <w:r w:rsidRPr="00DD1154">
              <w:rPr>
                <w:rFonts w:eastAsia="Times New Roman"/>
                <w:b/>
                <w:bCs/>
                <w:color w:val="000000"/>
                <w:sz w:val="22"/>
                <w:szCs w:val="22"/>
                <w:lang w:eastAsia="hr-HR"/>
              </w:rPr>
              <w:t>e</w:t>
            </w:r>
          </w:p>
        </w:tc>
      </w:tr>
      <w:tr w:rsidR="00740432" w:rsidRPr="00DD1154" w14:paraId="58AD4C39"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5E8DB30A"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w:t>
            </w:r>
          </w:p>
        </w:tc>
        <w:tc>
          <w:tcPr>
            <w:tcW w:w="1856" w:type="dxa"/>
            <w:tcBorders>
              <w:top w:val="nil"/>
              <w:left w:val="nil"/>
              <w:bottom w:val="single" w:sz="8" w:space="0" w:color="auto"/>
              <w:right w:val="single" w:sz="8" w:space="0" w:color="auto"/>
            </w:tcBorders>
            <w:shd w:val="clear" w:color="auto" w:fill="auto"/>
            <w:vAlign w:val="center"/>
            <w:hideMark/>
          </w:tcPr>
          <w:p w14:paraId="7D1A7047"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VOJNIĆ</w:t>
            </w:r>
          </w:p>
        </w:tc>
        <w:tc>
          <w:tcPr>
            <w:tcW w:w="1476" w:type="dxa"/>
            <w:tcBorders>
              <w:top w:val="nil"/>
              <w:left w:val="nil"/>
              <w:bottom w:val="single" w:sz="8" w:space="0" w:color="auto"/>
              <w:right w:val="single" w:sz="8" w:space="0" w:color="auto"/>
            </w:tcBorders>
            <w:shd w:val="clear" w:color="auto" w:fill="auto"/>
            <w:vAlign w:val="center"/>
            <w:hideMark/>
          </w:tcPr>
          <w:p w14:paraId="7A525856"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 xml:space="preserve"> Kokirevo</w:t>
            </w:r>
          </w:p>
        </w:tc>
        <w:tc>
          <w:tcPr>
            <w:tcW w:w="1523" w:type="dxa"/>
            <w:tcBorders>
              <w:top w:val="nil"/>
              <w:left w:val="nil"/>
              <w:bottom w:val="single" w:sz="8" w:space="0" w:color="auto"/>
              <w:right w:val="single" w:sz="8" w:space="0" w:color="auto"/>
            </w:tcBorders>
            <w:shd w:val="clear" w:color="auto" w:fill="auto"/>
            <w:vAlign w:val="center"/>
            <w:hideMark/>
          </w:tcPr>
          <w:p w14:paraId="4413E7E2"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336.945,37</w:t>
            </w:r>
          </w:p>
        </w:tc>
        <w:tc>
          <w:tcPr>
            <w:tcW w:w="1394" w:type="dxa"/>
            <w:tcBorders>
              <w:top w:val="nil"/>
              <w:left w:val="nil"/>
              <w:bottom w:val="single" w:sz="8" w:space="0" w:color="auto"/>
              <w:right w:val="single" w:sz="8" w:space="0" w:color="auto"/>
            </w:tcBorders>
            <w:shd w:val="clear" w:color="auto" w:fill="auto"/>
            <w:vAlign w:val="center"/>
            <w:hideMark/>
          </w:tcPr>
          <w:p w14:paraId="4AB3A0B1"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68288D1A"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270.302,86</w:t>
            </w:r>
          </w:p>
        </w:tc>
        <w:tc>
          <w:tcPr>
            <w:tcW w:w="1344" w:type="dxa"/>
            <w:tcBorders>
              <w:top w:val="nil"/>
              <w:left w:val="nil"/>
              <w:bottom w:val="single" w:sz="8" w:space="0" w:color="auto"/>
              <w:right w:val="single" w:sz="8" w:space="0" w:color="auto"/>
            </w:tcBorders>
            <w:shd w:val="clear" w:color="auto" w:fill="auto"/>
            <w:vAlign w:val="center"/>
            <w:hideMark/>
          </w:tcPr>
          <w:p w14:paraId="76BA0060"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66.642,51</w:t>
            </w:r>
          </w:p>
        </w:tc>
      </w:tr>
      <w:tr w:rsidR="00740432" w:rsidRPr="00DD1154" w14:paraId="6C149103"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0B520F89"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w:t>
            </w:r>
          </w:p>
        </w:tc>
        <w:tc>
          <w:tcPr>
            <w:tcW w:w="1856" w:type="dxa"/>
            <w:tcBorders>
              <w:top w:val="nil"/>
              <w:left w:val="nil"/>
              <w:bottom w:val="single" w:sz="8" w:space="0" w:color="auto"/>
              <w:right w:val="single" w:sz="8" w:space="0" w:color="auto"/>
            </w:tcBorders>
            <w:shd w:val="clear" w:color="auto" w:fill="auto"/>
            <w:vAlign w:val="center"/>
            <w:hideMark/>
          </w:tcPr>
          <w:p w14:paraId="662AB2AA"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NOVI MAROF</w:t>
            </w:r>
          </w:p>
        </w:tc>
        <w:tc>
          <w:tcPr>
            <w:tcW w:w="1476" w:type="dxa"/>
            <w:tcBorders>
              <w:top w:val="nil"/>
              <w:left w:val="nil"/>
              <w:bottom w:val="single" w:sz="8" w:space="0" w:color="auto"/>
              <w:right w:val="single" w:sz="8" w:space="0" w:color="auto"/>
            </w:tcBorders>
            <w:shd w:val="clear" w:color="auto" w:fill="auto"/>
            <w:vAlign w:val="center"/>
            <w:hideMark/>
          </w:tcPr>
          <w:p w14:paraId="0F1510EF"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Čret</w:t>
            </w:r>
          </w:p>
        </w:tc>
        <w:tc>
          <w:tcPr>
            <w:tcW w:w="1523" w:type="dxa"/>
            <w:tcBorders>
              <w:top w:val="nil"/>
              <w:left w:val="nil"/>
              <w:bottom w:val="single" w:sz="8" w:space="0" w:color="auto"/>
              <w:right w:val="single" w:sz="8" w:space="0" w:color="auto"/>
            </w:tcBorders>
            <w:shd w:val="clear" w:color="auto" w:fill="auto"/>
            <w:vAlign w:val="center"/>
            <w:hideMark/>
          </w:tcPr>
          <w:p w14:paraId="363746E4"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1.563.240,08</w:t>
            </w:r>
          </w:p>
        </w:tc>
        <w:tc>
          <w:tcPr>
            <w:tcW w:w="1394" w:type="dxa"/>
            <w:tcBorders>
              <w:top w:val="nil"/>
              <w:left w:val="nil"/>
              <w:bottom w:val="single" w:sz="8" w:space="0" w:color="auto"/>
              <w:right w:val="single" w:sz="8" w:space="0" w:color="auto"/>
            </w:tcBorders>
            <w:shd w:val="clear" w:color="auto" w:fill="auto"/>
            <w:vAlign w:val="center"/>
            <w:hideMark/>
          </w:tcPr>
          <w:p w14:paraId="01A756CC"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0BB98BE8"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2.358,75</w:t>
            </w:r>
          </w:p>
        </w:tc>
        <w:tc>
          <w:tcPr>
            <w:tcW w:w="1344" w:type="dxa"/>
            <w:tcBorders>
              <w:top w:val="nil"/>
              <w:left w:val="nil"/>
              <w:bottom w:val="single" w:sz="8" w:space="0" w:color="auto"/>
              <w:right w:val="single" w:sz="8" w:space="0" w:color="auto"/>
            </w:tcBorders>
            <w:shd w:val="clear" w:color="auto" w:fill="auto"/>
            <w:vAlign w:val="center"/>
            <w:hideMark/>
          </w:tcPr>
          <w:p w14:paraId="6838F4CF"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1.560.881,33</w:t>
            </w:r>
          </w:p>
        </w:tc>
      </w:tr>
      <w:tr w:rsidR="00740432" w:rsidRPr="00DD1154" w14:paraId="12B0F3C4" w14:textId="77777777" w:rsidTr="00740432">
        <w:trPr>
          <w:trHeight w:val="42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6C0C0025"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3.</w:t>
            </w:r>
          </w:p>
        </w:tc>
        <w:tc>
          <w:tcPr>
            <w:tcW w:w="1856" w:type="dxa"/>
            <w:tcBorders>
              <w:top w:val="nil"/>
              <w:left w:val="nil"/>
              <w:bottom w:val="single" w:sz="8" w:space="0" w:color="auto"/>
              <w:right w:val="single" w:sz="8" w:space="0" w:color="auto"/>
            </w:tcBorders>
            <w:shd w:val="clear" w:color="auto" w:fill="auto"/>
            <w:vAlign w:val="center"/>
            <w:hideMark/>
          </w:tcPr>
          <w:p w14:paraId="236E868D"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SVETI IVAN ŽABNO</w:t>
            </w:r>
          </w:p>
        </w:tc>
        <w:tc>
          <w:tcPr>
            <w:tcW w:w="1476" w:type="dxa"/>
            <w:tcBorders>
              <w:top w:val="nil"/>
              <w:left w:val="nil"/>
              <w:bottom w:val="single" w:sz="8" w:space="0" w:color="auto"/>
              <w:right w:val="single" w:sz="8" w:space="0" w:color="auto"/>
            </w:tcBorders>
            <w:shd w:val="clear" w:color="auto" w:fill="auto"/>
            <w:vAlign w:val="center"/>
            <w:hideMark/>
          </w:tcPr>
          <w:p w14:paraId="622C937B"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Trema-Gmanje</w:t>
            </w:r>
          </w:p>
        </w:tc>
        <w:tc>
          <w:tcPr>
            <w:tcW w:w="1523" w:type="dxa"/>
            <w:tcBorders>
              <w:top w:val="nil"/>
              <w:left w:val="nil"/>
              <w:bottom w:val="single" w:sz="8" w:space="0" w:color="auto"/>
              <w:right w:val="single" w:sz="8" w:space="0" w:color="auto"/>
            </w:tcBorders>
            <w:shd w:val="clear" w:color="auto" w:fill="auto"/>
            <w:vAlign w:val="center"/>
            <w:hideMark/>
          </w:tcPr>
          <w:p w14:paraId="6322C1BA"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1.024.638,38</w:t>
            </w:r>
          </w:p>
        </w:tc>
        <w:tc>
          <w:tcPr>
            <w:tcW w:w="1394" w:type="dxa"/>
            <w:tcBorders>
              <w:top w:val="nil"/>
              <w:left w:val="nil"/>
              <w:bottom w:val="single" w:sz="8" w:space="0" w:color="auto"/>
              <w:right w:val="single" w:sz="8" w:space="0" w:color="auto"/>
            </w:tcBorders>
            <w:shd w:val="clear" w:color="auto" w:fill="auto"/>
            <w:vAlign w:val="center"/>
            <w:hideMark/>
          </w:tcPr>
          <w:p w14:paraId="476EF9ED"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6.031,26</w:t>
            </w:r>
          </w:p>
        </w:tc>
        <w:tc>
          <w:tcPr>
            <w:tcW w:w="1394" w:type="dxa"/>
            <w:tcBorders>
              <w:top w:val="nil"/>
              <w:left w:val="nil"/>
              <w:bottom w:val="single" w:sz="8" w:space="0" w:color="auto"/>
              <w:right w:val="single" w:sz="8" w:space="0" w:color="auto"/>
            </w:tcBorders>
            <w:shd w:val="clear" w:color="auto" w:fill="auto"/>
            <w:vAlign w:val="center"/>
            <w:hideMark/>
          </w:tcPr>
          <w:p w14:paraId="0776CE85"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512.407,93</w:t>
            </w:r>
          </w:p>
        </w:tc>
        <w:tc>
          <w:tcPr>
            <w:tcW w:w="1344" w:type="dxa"/>
            <w:tcBorders>
              <w:top w:val="nil"/>
              <w:left w:val="nil"/>
              <w:bottom w:val="single" w:sz="8" w:space="0" w:color="auto"/>
              <w:right w:val="single" w:sz="8" w:space="0" w:color="auto"/>
            </w:tcBorders>
            <w:shd w:val="clear" w:color="auto" w:fill="auto"/>
            <w:vAlign w:val="center"/>
            <w:hideMark/>
          </w:tcPr>
          <w:p w14:paraId="73DD7A7D"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506.199,19</w:t>
            </w:r>
          </w:p>
        </w:tc>
      </w:tr>
      <w:tr w:rsidR="00740432" w:rsidRPr="00DD1154" w14:paraId="00A9DFA7"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29845E7A"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4.</w:t>
            </w:r>
          </w:p>
        </w:tc>
        <w:tc>
          <w:tcPr>
            <w:tcW w:w="1856" w:type="dxa"/>
            <w:tcBorders>
              <w:top w:val="nil"/>
              <w:left w:val="nil"/>
              <w:bottom w:val="single" w:sz="8" w:space="0" w:color="auto"/>
              <w:right w:val="single" w:sz="8" w:space="0" w:color="auto"/>
            </w:tcBorders>
            <w:shd w:val="clear" w:color="auto" w:fill="auto"/>
            <w:vAlign w:val="center"/>
            <w:hideMark/>
          </w:tcPr>
          <w:p w14:paraId="5629319B"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GOLA</w:t>
            </w:r>
          </w:p>
        </w:tc>
        <w:tc>
          <w:tcPr>
            <w:tcW w:w="1476" w:type="dxa"/>
            <w:tcBorders>
              <w:top w:val="nil"/>
              <w:left w:val="nil"/>
              <w:bottom w:val="single" w:sz="8" w:space="0" w:color="auto"/>
              <w:right w:val="single" w:sz="8" w:space="0" w:color="auto"/>
            </w:tcBorders>
            <w:shd w:val="clear" w:color="auto" w:fill="auto"/>
            <w:vAlign w:val="center"/>
            <w:hideMark/>
          </w:tcPr>
          <w:p w14:paraId="0560E57F"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Hintov</w:t>
            </w:r>
          </w:p>
        </w:tc>
        <w:tc>
          <w:tcPr>
            <w:tcW w:w="1523" w:type="dxa"/>
            <w:tcBorders>
              <w:top w:val="nil"/>
              <w:left w:val="nil"/>
              <w:bottom w:val="single" w:sz="8" w:space="0" w:color="auto"/>
              <w:right w:val="single" w:sz="8" w:space="0" w:color="auto"/>
            </w:tcBorders>
            <w:shd w:val="clear" w:color="auto" w:fill="auto"/>
            <w:vAlign w:val="center"/>
            <w:hideMark/>
          </w:tcPr>
          <w:p w14:paraId="7150F8F9"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547.761,22</w:t>
            </w:r>
          </w:p>
        </w:tc>
        <w:tc>
          <w:tcPr>
            <w:tcW w:w="1394" w:type="dxa"/>
            <w:tcBorders>
              <w:top w:val="nil"/>
              <w:left w:val="nil"/>
              <w:bottom w:val="single" w:sz="8" w:space="0" w:color="auto"/>
              <w:right w:val="single" w:sz="8" w:space="0" w:color="auto"/>
            </w:tcBorders>
            <w:shd w:val="clear" w:color="auto" w:fill="auto"/>
            <w:vAlign w:val="center"/>
            <w:hideMark/>
          </w:tcPr>
          <w:p w14:paraId="4A6C5F5E"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3A937D2E"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33.833,18</w:t>
            </w:r>
          </w:p>
        </w:tc>
        <w:tc>
          <w:tcPr>
            <w:tcW w:w="1344" w:type="dxa"/>
            <w:tcBorders>
              <w:top w:val="nil"/>
              <w:left w:val="nil"/>
              <w:bottom w:val="single" w:sz="8" w:space="0" w:color="auto"/>
              <w:right w:val="single" w:sz="8" w:space="0" w:color="auto"/>
            </w:tcBorders>
            <w:shd w:val="clear" w:color="auto" w:fill="auto"/>
            <w:vAlign w:val="center"/>
            <w:hideMark/>
          </w:tcPr>
          <w:p w14:paraId="473613FE"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513.928,04</w:t>
            </w:r>
          </w:p>
        </w:tc>
      </w:tr>
      <w:tr w:rsidR="00740432" w:rsidRPr="00DD1154" w14:paraId="220A00CA"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0FF5BE1F"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5.</w:t>
            </w:r>
          </w:p>
        </w:tc>
        <w:tc>
          <w:tcPr>
            <w:tcW w:w="1856" w:type="dxa"/>
            <w:tcBorders>
              <w:top w:val="nil"/>
              <w:left w:val="nil"/>
              <w:bottom w:val="single" w:sz="8" w:space="0" w:color="auto"/>
              <w:right w:val="single" w:sz="8" w:space="0" w:color="auto"/>
            </w:tcBorders>
            <w:shd w:val="clear" w:color="auto" w:fill="auto"/>
            <w:vAlign w:val="center"/>
            <w:hideMark/>
          </w:tcPr>
          <w:p w14:paraId="618B646E"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FERDINANDOVAC</w:t>
            </w:r>
          </w:p>
        </w:tc>
        <w:tc>
          <w:tcPr>
            <w:tcW w:w="1476" w:type="dxa"/>
            <w:tcBorders>
              <w:top w:val="nil"/>
              <w:left w:val="nil"/>
              <w:bottom w:val="single" w:sz="8" w:space="0" w:color="auto"/>
              <w:right w:val="single" w:sz="8" w:space="0" w:color="auto"/>
            </w:tcBorders>
            <w:shd w:val="clear" w:color="auto" w:fill="auto"/>
            <w:vAlign w:val="center"/>
            <w:hideMark/>
          </w:tcPr>
          <w:p w14:paraId="3B98CC01"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Orl</w:t>
            </w:r>
          </w:p>
        </w:tc>
        <w:tc>
          <w:tcPr>
            <w:tcW w:w="1523" w:type="dxa"/>
            <w:tcBorders>
              <w:top w:val="nil"/>
              <w:left w:val="nil"/>
              <w:bottom w:val="single" w:sz="8" w:space="0" w:color="auto"/>
              <w:right w:val="single" w:sz="8" w:space="0" w:color="auto"/>
            </w:tcBorders>
            <w:shd w:val="clear" w:color="auto" w:fill="auto"/>
            <w:vAlign w:val="center"/>
            <w:hideMark/>
          </w:tcPr>
          <w:p w14:paraId="6FD72411"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1.494.906,25</w:t>
            </w:r>
          </w:p>
        </w:tc>
        <w:tc>
          <w:tcPr>
            <w:tcW w:w="1394" w:type="dxa"/>
            <w:tcBorders>
              <w:top w:val="nil"/>
              <w:left w:val="nil"/>
              <w:bottom w:val="single" w:sz="8" w:space="0" w:color="auto"/>
              <w:right w:val="single" w:sz="8" w:space="0" w:color="auto"/>
            </w:tcBorders>
            <w:shd w:val="clear" w:color="auto" w:fill="auto"/>
            <w:vAlign w:val="center"/>
            <w:hideMark/>
          </w:tcPr>
          <w:p w14:paraId="2B8F9AFC"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3F39844C"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1C952DC8"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1.494.906,25</w:t>
            </w:r>
          </w:p>
        </w:tc>
      </w:tr>
      <w:tr w:rsidR="00740432" w:rsidRPr="00DD1154" w14:paraId="7B79B8CE"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74CD0285"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6.</w:t>
            </w:r>
          </w:p>
        </w:tc>
        <w:tc>
          <w:tcPr>
            <w:tcW w:w="1856" w:type="dxa"/>
            <w:tcBorders>
              <w:top w:val="nil"/>
              <w:left w:val="nil"/>
              <w:bottom w:val="single" w:sz="8" w:space="0" w:color="auto"/>
              <w:right w:val="single" w:sz="8" w:space="0" w:color="auto"/>
            </w:tcBorders>
            <w:shd w:val="clear" w:color="auto" w:fill="auto"/>
            <w:vAlign w:val="center"/>
            <w:hideMark/>
          </w:tcPr>
          <w:p w14:paraId="77E6B0E8"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ĐULOVAC</w:t>
            </w:r>
          </w:p>
        </w:tc>
        <w:tc>
          <w:tcPr>
            <w:tcW w:w="1476" w:type="dxa"/>
            <w:tcBorders>
              <w:top w:val="nil"/>
              <w:left w:val="nil"/>
              <w:bottom w:val="single" w:sz="8" w:space="0" w:color="auto"/>
              <w:right w:val="single" w:sz="8" w:space="0" w:color="auto"/>
            </w:tcBorders>
            <w:shd w:val="clear" w:color="auto" w:fill="auto"/>
            <w:vAlign w:val="center"/>
            <w:hideMark/>
          </w:tcPr>
          <w:p w14:paraId="681DB994"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Cjepidlake</w:t>
            </w:r>
          </w:p>
        </w:tc>
        <w:tc>
          <w:tcPr>
            <w:tcW w:w="1523" w:type="dxa"/>
            <w:tcBorders>
              <w:top w:val="nil"/>
              <w:left w:val="nil"/>
              <w:bottom w:val="single" w:sz="8" w:space="0" w:color="auto"/>
              <w:right w:val="single" w:sz="8" w:space="0" w:color="auto"/>
            </w:tcBorders>
            <w:shd w:val="clear" w:color="auto" w:fill="auto"/>
            <w:vAlign w:val="center"/>
            <w:hideMark/>
          </w:tcPr>
          <w:p w14:paraId="57654200"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239.258,08</w:t>
            </w:r>
          </w:p>
        </w:tc>
        <w:tc>
          <w:tcPr>
            <w:tcW w:w="1394" w:type="dxa"/>
            <w:tcBorders>
              <w:top w:val="nil"/>
              <w:left w:val="nil"/>
              <w:bottom w:val="single" w:sz="8" w:space="0" w:color="auto"/>
              <w:right w:val="single" w:sz="8" w:space="0" w:color="auto"/>
            </w:tcBorders>
            <w:shd w:val="clear" w:color="auto" w:fill="auto"/>
            <w:vAlign w:val="center"/>
            <w:hideMark/>
          </w:tcPr>
          <w:p w14:paraId="62A1CEAB"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164.233,81</w:t>
            </w:r>
          </w:p>
        </w:tc>
        <w:tc>
          <w:tcPr>
            <w:tcW w:w="1394" w:type="dxa"/>
            <w:tcBorders>
              <w:top w:val="nil"/>
              <w:left w:val="nil"/>
              <w:bottom w:val="single" w:sz="8" w:space="0" w:color="auto"/>
              <w:right w:val="single" w:sz="8" w:space="0" w:color="auto"/>
            </w:tcBorders>
            <w:shd w:val="clear" w:color="auto" w:fill="auto"/>
            <w:vAlign w:val="center"/>
            <w:hideMark/>
          </w:tcPr>
          <w:p w14:paraId="748259B3"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24.649,98</w:t>
            </w:r>
          </w:p>
        </w:tc>
        <w:tc>
          <w:tcPr>
            <w:tcW w:w="1344" w:type="dxa"/>
            <w:tcBorders>
              <w:top w:val="nil"/>
              <w:left w:val="nil"/>
              <w:bottom w:val="single" w:sz="8" w:space="0" w:color="auto"/>
              <w:right w:val="single" w:sz="8" w:space="0" w:color="auto"/>
            </w:tcBorders>
            <w:shd w:val="clear" w:color="auto" w:fill="auto"/>
            <w:vAlign w:val="center"/>
            <w:hideMark/>
          </w:tcPr>
          <w:p w14:paraId="47B8113A"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50.374,29</w:t>
            </w:r>
          </w:p>
        </w:tc>
      </w:tr>
      <w:tr w:rsidR="00740432" w:rsidRPr="00DD1154" w14:paraId="0D959C0C"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07B3B5C5"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7.</w:t>
            </w:r>
          </w:p>
        </w:tc>
        <w:tc>
          <w:tcPr>
            <w:tcW w:w="1856" w:type="dxa"/>
            <w:tcBorders>
              <w:top w:val="nil"/>
              <w:left w:val="nil"/>
              <w:bottom w:val="single" w:sz="8" w:space="0" w:color="auto"/>
              <w:right w:val="single" w:sz="8" w:space="0" w:color="auto"/>
            </w:tcBorders>
            <w:shd w:val="clear" w:color="auto" w:fill="auto"/>
            <w:vAlign w:val="center"/>
            <w:hideMark/>
          </w:tcPr>
          <w:p w14:paraId="1450EEA8"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VELIKO TROJSTVO</w:t>
            </w:r>
          </w:p>
        </w:tc>
        <w:tc>
          <w:tcPr>
            <w:tcW w:w="1476" w:type="dxa"/>
            <w:tcBorders>
              <w:top w:val="nil"/>
              <w:left w:val="nil"/>
              <w:bottom w:val="single" w:sz="8" w:space="0" w:color="auto"/>
              <w:right w:val="single" w:sz="8" w:space="0" w:color="auto"/>
            </w:tcBorders>
            <w:shd w:val="clear" w:color="auto" w:fill="auto"/>
            <w:vAlign w:val="center"/>
            <w:hideMark/>
          </w:tcPr>
          <w:p w14:paraId="7FE05D52"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Grginac</w:t>
            </w:r>
          </w:p>
        </w:tc>
        <w:tc>
          <w:tcPr>
            <w:tcW w:w="1523" w:type="dxa"/>
            <w:tcBorders>
              <w:top w:val="nil"/>
              <w:left w:val="nil"/>
              <w:bottom w:val="single" w:sz="8" w:space="0" w:color="auto"/>
              <w:right w:val="single" w:sz="8" w:space="0" w:color="auto"/>
            </w:tcBorders>
            <w:shd w:val="clear" w:color="auto" w:fill="auto"/>
            <w:vAlign w:val="center"/>
            <w:hideMark/>
          </w:tcPr>
          <w:p w14:paraId="5D691F21"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970.461,40</w:t>
            </w:r>
          </w:p>
        </w:tc>
        <w:tc>
          <w:tcPr>
            <w:tcW w:w="1394" w:type="dxa"/>
            <w:tcBorders>
              <w:top w:val="nil"/>
              <w:left w:val="nil"/>
              <w:bottom w:val="single" w:sz="8" w:space="0" w:color="auto"/>
              <w:right w:val="single" w:sz="8" w:space="0" w:color="auto"/>
            </w:tcBorders>
            <w:shd w:val="clear" w:color="auto" w:fill="auto"/>
            <w:vAlign w:val="center"/>
            <w:hideMark/>
          </w:tcPr>
          <w:p w14:paraId="24DC1712"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11.875,00</w:t>
            </w:r>
          </w:p>
        </w:tc>
        <w:tc>
          <w:tcPr>
            <w:tcW w:w="1394" w:type="dxa"/>
            <w:tcBorders>
              <w:top w:val="nil"/>
              <w:left w:val="nil"/>
              <w:bottom w:val="single" w:sz="8" w:space="0" w:color="auto"/>
              <w:right w:val="single" w:sz="8" w:space="0" w:color="auto"/>
            </w:tcBorders>
            <w:shd w:val="clear" w:color="auto" w:fill="auto"/>
            <w:vAlign w:val="center"/>
            <w:hideMark/>
          </w:tcPr>
          <w:p w14:paraId="2A6DDE77"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270.460,38</w:t>
            </w:r>
          </w:p>
        </w:tc>
        <w:tc>
          <w:tcPr>
            <w:tcW w:w="1344" w:type="dxa"/>
            <w:tcBorders>
              <w:top w:val="nil"/>
              <w:left w:val="nil"/>
              <w:bottom w:val="single" w:sz="8" w:space="0" w:color="auto"/>
              <w:right w:val="single" w:sz="8" w:space="0" w:color="auto"/>
            </w:tcBorders>
            <w:shd w:val="clear" w:color="auto" w:fill="auto"/>
            <w:vAlign w:val="center"/>
            <w:hideMark/>
          </w:tcPr>
          <w:p w14:paraId="53FC354D"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688.126,02</w:t>
            </w:r>
          </w:p>
        </w:tc>
      </w:tr>
      <w:tr w:rsidR="00740432" w:rsidRPr="00DD1154" w14:paraId="1611E4E5"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3F90405E"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8.</w:t>
            </w:r>
          </w:p>
        </w:tc>
        <w:tc>
          <w:tcPr>
            <w:tcW w:w="1856" w:type="dxa"/>
            <w:tcBorders>
              <w:top w:val="nil"/>
              <w:left w:val="nil"/>
              <w:bottom w:val="single" w:sz="8" w:space="0" w:color="auto"/>
              <w:right w:val="single" w:sz="8" w:space="0" w:color="auto"/>
            </w:tcBorders>
            <w:shd w:val="clear" w:color="auto" w:fill="auto"/>
            <w:vAlign w:val="center"/>
            <w:hideMark/>
          </w:tcPr>
          <w:p w14:paraId="1C021EFB"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VRBOVSKO</w:t>
            </w:r>
          </w:p>
        </w:tc>
        <w:tc>
          <w:tcPr>
            <w:tcW w:w="1476" w:type="dxa"/>
            <w:tcBorders>
              <w:top w:val="nil"/>
              <w:left w:val="nil"/>
              <w:bottom w:val="single" w:sz="8" w:space="0" w:color="auto"/>
              <w:right w:val="single" w:sz="8" w:space="0" w:color="auto"/>
            </w:tcBorders>
            <w:shd w:val="clear" w:color="auto" w:fill="auto"/>
            <w:vAlign w:val="center"/>
            <w:hideMark/>
          </w:tcPr>
          <w:p w14:paraId="186B4BF1"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Cetin</w:t>
            </w:r>
          </w:p>
        </w:tc>
        <w:tc>
          <w:tcPr>
            <w:tcW w:w="1523" w:type="dxa"/>
            <w:tcBorders>
              <w:top w:val="nil"/>
              <w:left w:val="nil"/>
              <w:bottom w:val="single" w:sz="8" w:space="0" w:color="auto"/>
              <w:right w:val="single" w:sz="8" w:space="0" w:color="auto"/>
            </w:tcBorders>
            <w:shd w:val="clear" w:color="auto" w:fill="auto"/>
            <w:vAlign w:val="center"/>
            <w:hideMark/>
          </w:tcPr>
          <w:p w14:paraId="674D1E56"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350.055,00</w:t>
            </w:r>
          </w:p>
        </w:tc>
        <w:tc>
          <w:tcPr>
            <w:tcW w:w="1394" w:type="dxa"/>
            <w:tcBorders>
              <w:top w:val="nil"/>
              <w:left w:val="nil"/>
              <w:bottom w:val="single" w:sz="8" w:space="0" w:color="auto"/>
              <w:right w:val="single" w:sz="8" w:space="0" w:color="auto"/>
            </w:tcBorders>
            <w:shd w:val="clear" w:color="auto" w:fill="auto"/>
            <w:vAlign w:val="center"/>
            <w:hideMark/>
          </w:tcPr>
          <w:p w14:paraId="1491B584"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256.455,06</w:t>
            </w:r>
          </w:p>
        </w:tc>
        <w:tc>
          <w:tcPr>
            <w:tcW w:w="1394" w:type="dxa"/>
            <w:tcBorders>
              <w:top w:val="nil"/>
              <w:left w:val="nil"/>
              <w:bottom w:val="single" w:sz="8" w:space="0" w:color="auto"/>
              <w:right w:val="single" w:sz="8" w:space="0" w:color="auto"/>
            </w:tcBorders>
            <w:shd w:val="clear" w:color="auto" w:fill="auto"/>
            <w:vAlign w:val="center"/>
            <w:hideMark/>
          </w:tcPr>
          <w:p w14:paraId="34ED4E7D"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19.947,55</w:t>
            </w:r>
          </w:p>
        </w:tc>
        <w:tc>
          <w:tcPr>
            <w:tcW w:w="1344" w:type="dxa"/>
            <w:tcBorders>
              <w:top w:val="nil"/>
              <w:left w:val="nil"/>
              <w:bottom w:val="single" w:sz="8" w:space="0" w:color="auto"/>
              <w:right w:val="single" w:sz="8" w:space="0" w:color="auto"/>
            </w:tcBorders>
            <w:shd w:val="clear" w:color="auto" w:fill="auto"/>
            <w:vAlign w:val="center"/>
            <w:hideMark/>
          </w:tcPr>
          <w:p w14:paraId="0EE8DA78"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73.652,39</w:t>
            </w:r>
          </w:p>
        </w:tc>
      </w:tr>
      <w:tr w:rsidR="00740432" w:rsidRPr="00DD1154" w14:paraId="2CF4486F"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4786DA9D"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9.</w:t>
            </w:r>
          </w:p>
        </w:tc>
        <w:tc>
          <w:tcPr>
            <w:tcW w:w="1856" w:type="dxa"/>
            <w:tcBorders>
              <w:top w:val="nil"/>
              <w:left w:val="nil"/>
              <w:bottom w:val="single" w:sz="8" w:space="0" w:color="auto"/>
              <w:right w:val="single" w:sz="8" w:space="0" w:color="auto"/>
            </w:tcBorders>
            <w:shd w:val="clear" w:color="auto" w:fill="auto"/>
            <w:vAlign w:val="center"/>
            <w:hideMark/>
          </w:tcPr>
          <w:p w14:paraId="1B7DA66F"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MATULJI</w:t>
            </w:r>
          </w:p>
        </w:tc>
        <w:tc>
          <w:tcPr>
            <w:tcW w:w="1476" w:type="dxa"/>
            <w:tcBorders>
              <w:top w:val="nil"/>
              <w:left w:val="nil"/>
              <w:bottom w:val="single" w:sz="8" w:space="0" w:color="auto"/>
              <w:right w:val="single" w:sz="8" w:space="0" w:color="auto"/>
            </w:tcBorders>
            <w:shd w:val="clear" w:color="auto" w:fill="auto"/>
            <w:vAlign w:val="center"/>
            <w:hideMark/>
          </w:tcPr>
          <w:p w14:paraId="3E66AB4B"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Osojnica</w:t>
            </w:r>
          </w:p>
        </w:tc>
        <w:tc>
          <w:tcPr>
            <w:tcW w:w="1523" w:type="dxa"/>
            <w:tcBorders>
              <w:top w:val="nil"/>
              <w:left w:val="nil"/>
              <w:bottom w:val="single" w:sz="8" w:space="0" w:color="auto"/>
              <w:right w:val="single" w:sz="8" w:space="0" w:color="auto"/>
            </w:tcBorders>
            <w:shd w:val="clear" w:color="auto" w:fill="auto"/>
            <w:vAlign w:val="center"/>
            <w:hideMark/>
          </w:tcPr>
          <w:p w14:paraId="03C63437"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3.529.411,77</w:t>
            </w:r>
          </w:p>
        </w:tc>
        <w:tc>
          <w:tcPr>
            <w:tcW w:w="1394" w:type="dxa"/>
            <w:tcBorders>
              <w:top w:val="nil"/>
              <w:left w:val="nil"/>
              <w:bottom w:val="single" w:sz="8" w:space="0" w:color="auto"/>
              <w:right w:val="single" w:sz="8" w:space="0" w:color="auto"/>
            </w:tcBorders>
            <w:shd w:val="clear" w:color="auto" w:fill="auto"/>
            <w:vAlign w:val="center"/>
            <w:hideMark/>
          </w:tcPr>
          <w:p w14:paraId="65CDDEE5"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25ECEAE2"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1.222.517,37</w:t>
            </w:r>
          </w:p>
        </w:tc>
        <w:tc>
          <w:tcPr>
            <w:tcW w:w="1344" w:type="dxa"/>
            <w:tcBorders>
              <w:top w:val="nil"/>
              <w:left w:val="nil"/>
              <w:bottom w:val="single" w:sz="8" w:space="0" w:color="auto"/>
              <w:right w:val="single" w:sz="8" w:space="0" w:color="auto"/>
            </w:tcBorders>
            <w:shd w:val="clear" w:color="auto" w:fill="auto"/>
            <w:vAlign w:val="center"/>
            <w:hideMark/>
          </w:tcPr>
          <w:p w14:paraId="0CFBA4F7"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2.306.894,40</w:t>
            </w:r>
          </w:p>
        </w:tc>
      </w:tr>
      <w:tr w:rsidR="00740432" w:rsidRPr="00DD1154" w14:paraId="5E22923C"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328BA6B6"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10.</w:t>
            </w:r>
          </w:p>
        </w:tc>
        <w:tc>
          <w:tcPr>
            <w:tcW w:w="1856" w:type="dxa"/>
            <w:tcBorders>
              <w:top w:val="nil"/>
              <w:left w:val="nil"/>
              <w:bottom w:val="single" w:sz="8" w:space="0" w:color="auto"/>
              <w:right w:val="single" w:sz="8" w:space="0" w:color="auto"/>
            </w:tcBorders>
            <w:shd w:val="clear" w:color="auto" w:fill="auto"/>
            <w:vAlign w:val="center"/>
            <w:hideMark/>
          </w:tcPr>
          <w:p w14:paraId="32876C89"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CRES</w:t>
            </w:r>
          </w:p>
        </w:tc>
        <w:tc>
          <w:tcPr>
            <w:tcW w:w="1476" w:type="dxa"/>
            <w:tcBorders>
              <w:top w:val="nil"/>
              <w:left w:val="nil"/>
              <w:bottom w:val="single" w:sz="8" w:space="0" w:color="auto"/>
              <w:right w:val="single" w:sz="8" w:space="0" w:color="auto"/>
            </w:tcBorders>
            <w:shd w:val="clear" w:color="auto" w:fill="auto"/>
            <w:vAlign w:val="center"/>
            <w:hideMark/>
          </w:tcPr>
          <w:p w14:paraId="105B8423"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Pržići</w:t>
            </w:r>
          </w:p>
        </w:tc>
        <w:tc>
          <w:tcPr>
            <w:tcW w:w="1523" w:type="dxa"/>
            <w:tcBorders>
              <w:top w:val="nil"/>
              <w:left w:val="nil"/>
              <w:bottom w:val="single" w:sz="8" w:space="0" w:color="auto"/>
              <w:right w:val="single" w:sz="8" w:space="0" w:color="auto"/>
            </w:tcBorders>
            <w:shd w:val="clear" w:color="auto" w:fill="auto"/>
            <w:vAlign w:val="center"/>
            <w:hideMark/>
          </w:tcPr>
          <w:p w14:paraId="21E8E751"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1.058.106,62</w:t>
            </w:r>
          </w:p>
        </w:tc>
        <w:tc>
          <w:tcPr>
            <w:tcW w:w="1394" w:type="dxa"/>
            <w:tcBorders>
              <w:top w:val="nil"/>
              <w:left w:val="nil"/>
              <w:bottom w:val="single" w:sz="8" w:space="0" w:color="auto"/>
              <w:right w:val="single" w:sz="8" w:space="0" w:color="auto"/>
            </w:tcBorders>
            <w:shd w:val="clear" w:color="auto" w:fill="auto"/>
            <w:vAlign w:val="center"/>
            <w:hideMark/>
          </w:tcPr>
          <w:p w14:paraId="7EFED587"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1152AAB6"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5.052,50</w:t>
            </w:r>
          </w:p>
        </w:tc>
        <w:tc>
          <w:tcPr>
            <w:tcW w:w="1344" w:type="dxa"/>
            <w:tcBorders>
              <w:top w:val="nil"/>
              <w:left w:val="nil"/>
              <w:bottom w:val="single" w:sz="8" w:space="0" w:color="auto"/>
              <w:right w:val="single" w:sz="8" w:space="0" w:color="auto"/>
            </w:tcBorders>
            <w:shd w:val="clear" w:color="auto" w:fill="auto"/>
            <w:vAlign w:val="center"/>
            <w:hideMark/>
          </w:tcPr>
          <w:p w14:paraId="2B6BB59A"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1.053.054,12</w:t>
            </w:r>
          </w:p>
        </w:tc>
      </w:tr>
      <w:tr w:rsidR="00740432" w:rsidRPr="00DD1154" w14:paraId="3DF347DD"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6F50F7F6"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11.</w:t>
            </w:r>
          </w:p>
        </w:tc>
        <w:tc>
          <w:tcPr>
            <w:tcW w:w="1856" w:type="dxa"/>
            <w:tcBorders>
              <w:top w:val="nil"/>
              <w:left w:val="nil"/>
              <w:bottom w:val="single" w:sz="8" w:space="0" w:color="auto"/>
              <w:right w:val="single" w:sz="8" w:space="0" w:color="auto"/>
            </w:tcBorders>
            <w:shd w:val="clear" w:color="auto" w:fill="auto"/>
            <w:vAlign w:val="center"/>
            <w:hideMark/>
          </w:tcPr>
          <w:p w14:paraId="1045955A"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NOVI VINODOLSKI</w:t>
            </w:r>
          </w:p>
        </w:tc>
        <w:tc>
          <w:tcPr>
            <w:tcW w:w="1476" w:type="dxa"/>
            <w:tcBorders>
              <w:top w:val="nil"/>
              <w:left w:val="nil"/>
              <w:bottom w:val="single" w:sz="8" w:space="0" w:color="auto"/>
              <w:right w:val="single" w:sz="8" w:space="0" w:color="auto"/>
            </w:tcBorders>
            <w:shd w:val="clear" w:color="auto" w:fill="auto"/>
            <w:vAlign w:val="center"/>
            <w:hideMark/>
          </w:tcPr>
          <w:p w14:paraId="587F5045"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Duplja</w:t>
            </w:r>
          </w:p>
        </w:tc>
        <w:tc>
          <w:tcPr>
            <w:tcW w:w="1523" w:type="dxa"/>
            <w:tcBorders>
              <w:top w:val="nil"/>
              <w:left w:val="nil"/>
              <w:bottom w:val="single" w:sz="8" w:space="0" w:color="auto"/>
              <w:right w:val="single" w:sz="8" w:space="0" w:color="auto"/>
            </w:tcBorders>
            <w:shd w:val="clear" w:color="auto" w:fill="auto"/>
            <w:vAlign w:val="center"/>
            <w:hideMark/>
          </w:tcPr>
          <w:p w14:paraId="27375836"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851.845,20</w:t>
            </w:r>
          </w:p>
        </w:tc>
        <w:tc>
          <w:tcPr>
            <w:tcW w:w="1394" w:type="dxa"/>
            <w:tcBorders>
              <w:top w:val="nil"/>
              <w:left w:val="nil"/>
              <w:bottom w:val="single" w:sz="8" w:space="0" w:color="auto"/>
              <w:right w:val="single" w:sz="8" w:space="0" w:color="auto"/>
            </w:tcBorders>
            <w:shd w:val="clear" w:color="auto" w:fill="auto"/>
            <w:vAlign w:val="center"/>
            <w:hideMark/>
          </w:tcPr>
          <w:p w14:paraId="113FCDBC"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57C46F06"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632.706,53</w:t>
            </w:r>
          </w:p>
        </w:tc>
        <w:tc>
          <w:tcPr>
            <w:tcW w:w="1344" w:type="dxa"/>
            <w:tcBorders>
              <w:top w:val="nil"/>
              <w:left w:val="nil"/>
              <w:bottom w:val="single" w:sz="8" w:space="0" w:color="auto"/>
              <w:right w:val="single" w:sz="8" w:space="0" w:color="auto"/>
            </w:tcBorders>
            <w:shd w:val="clear" w:color="auto" w:fill="auto"/>
            <w:vAlign w:val="center"/>
            <w:hideMark/>
          </w:tcPr>
          <w:p w14:paraId="25E42F32"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219.138,67</w:t>
            </w:r>
          </w:p>
        </w:tc>
      </w:tr>
      <w:tr w:rsidR="00740432" w:rsidRPr="00DD1154" w14:paraId="64D852C3"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3918B3B1"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12.</w:t>
            </w:r>
          </w:p>
        </w:tc>
        <w:tc>
          <w:tcPr>
            <w:tcW w:w="1856" w:type="dxa"/>
            <w:tcBorders>
              <w:top w:val="nil"/>
              <w:left w:val="nil"/>
              <w:bottom w:val="single" w:sz="8" w:space="0" w:color="auto"/>
              <w:right w:val="single" w:sz="8" w:space="0" w:color="auto"/>
            </w:tcBorders>
            <w:shd w:val="clear" w:color="auto" w:fill="auto"/>
            <w:vAlign w:val="center"/>
            <w:hideMark/>
          </w:tcPr>
          <w:p w14:paraId="03B24EF1"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RAB</w:t>
            </w:r>
          </w:p>
        </w:tc>
        <w:tc>
          <w:tcPr>
            <w:tcW w:w="1476" w:type="dxa"/>
            <w:tcBorders>
              <w:top w:val="nil"/>
              <w:left w:val="nil"/>
              <w:bottom w:val="single" w:sz="8" w:space="0" w:color="auto"/>
              <w:right w:val="single" w:sz="8" w:space="0" w:color="auto"/>
            </w:tcBorders>
            <w:shd w:val="clear" w:color="auto" w:fill="auto"/>
            <w:vAlign w:val="center"/>
            <w:hideMark/>
          </w:tcPr>
          <w:p w14:paraId="6A8B2B85"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Sorinj</w:t>
            </w:r>
          </w:p>
        </w:tc>
        <w:tc>
          <w:tcPr>
            <w:tcW w:w="1523" w:type="dxa"/>
            <w:tcBorders>
              <w:top w:val="nil"/>
              <w:left w:val="nil"/>
              <w:bottom w:val="single" w:sz="8" w:space="0" w:color="auto"/>
              <w:right w:val="single" w:sz="8" w:space="0" w:color="auto"/>
            </w:tcBorders>
            <w:shd w:val="clear" w:color="auto" w:fill="auto"/>
            <w:vAlign w:val="center"/>
            <w:hideMark/>
          </w:tcPr>
          <w:p w14:paraId="78118174"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2.238.139,36</w:t>
            </w:r>
          </w:p>
        </w:tc>
        <w:tc>
          <w:tcPr>
            <w:tcW w:w="1394" w:type="dxa"/>
            <w:tcBorders>
              <w:top w:val="nil"/>
              <w:left w:val="nil"/>
              <w:bottom w:val="single" w:sz="8" w:space="0" w:color="auto"/>
              <w:right w:val="single" w:sz="8" w:space="0" w:color="auto"/>
            </w:tcBorders>
            <w:shd w:val="clear" w:color="auto" w:fill="auto"/>
            <w:vAlign w:val="center"/>
            <w:hideMark/>
          </w:tcPr>
          <w:p w14:paraId="52A02DCF"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660A42FA"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875.174,84</w:t>
            </w:r>
          </w:p>
        </w:tc>
        <w:tc>
          <w:tcPr>
            <w:tcW w:w="1344" w:type="dxa"/>
            <w:tcBorders>
              <w:top w:val="nil"/>
              <w:left w:val="nil"/>
              <w:bottom w:val="single" w:sz="8" w:space="0" w:color="auto"/>
              <w:right w:val="single" w:sz="8" w:space="0" w:color="auto"/>
            </w:tcBorders>
            <w:shd w:val="clear" w:color="auto" w:fill="auto"/>
            <w:vAlign w:val="center"/>
            <w:hideMark/>
          </w:tcPr>
          <w:p w14:paraId="32B8566D"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1.362.964,52</w:t>
            </w:r>
          </w:p>
        </w:tc>
      </w:tr>
      <w:tr w:rsidR="00740432" w:rsidRPr="00DD1154" w14:paraId="313E87D6"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59EBE166"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13.</w:t>
            </w:r>
          </w:p>
        </w:tc>
        <w:tc>
          <w:tcPr>
            <w:tcW w:w="1856" w:type="dxa"/>
            <w:tcBorders>
              <w:top w:val="nil"/>
              <w:left w:val="nil"/>
              <w:bottom w:val="single" w:sz="8" w:space="0" w:color="auto"/>
              <w:right w:val="single" w:sz="8" w:space="0" w:color="auto"/>
            </w:tcBorders>
            <w:shd w:val="clear" w:color="auto" w:fill="auto"/>
            <w:vAlign w:val="center"/>
            <w:hideMark/>
          </w:tcPr>
          <w:p w14:paraId="4932E8BC"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BRINJE</w:t>
            </w:r>
          </w:p>
        </w:tc>
        <w:tc>
          <w:tcPr>
            <w:tcW w:w="1476" w:type="dxa"/>
            <w:tcBorders>
              <w:top w:val="nil"/>
              <w:left w:val="nil"/>
              <w:bottom w:val="single" w:sz="8" w:space="0" w:color="auto"/>
              <w:right w:val="single" w:sz="8" w:space="0" w:color="auto"/>
            </w:tcBorders>
            <w:shd w:val="clear" w:color="auto" w:fill="auto"/>
            <w:vAlign w:val="center"/>
            <w:hideMark/>
          </w:tcPr>
          <w:p w14:paraId="4117569A"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Javorov vrh</w:t>
            </w:r>
          </w:p>
        </w:tc>
        <w:tc>
          <w:tcPr>
            <w:tcW w:w="1523" w:type="dxa"/>
            <w:tcBorders>
              <w:top w:val="nil"/>
              <w:left w:val="nil"/>
              <w:bottom w:val="single" w:sz="8" w:space="0" w:color="auto"/>
              <w:right w:val="single" w:sz="8" w:space="0" w:color="auto"/>
            </w:tcBorders>
            <w:shd w:val="clear" w:color="auto" w:fill="auto"/>
            <w:vAlign w:val="center"/>
            <w:hideMark/>
          </w:tcPr>
          <w:p w14:paraId="376237C6"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2.862.994,49</w:t>
            </w:r>
          </w:p>
        </w:tc>
        <w:tc>
          <w:tcPr>
            <w:tcW w:w="1394" w:type="dxa"/>
            <w:tcBorders>
              <w:top w:val="nil"/>
              <w:left w:val="nil"/>
              <w:bottom w:val="single" w:sz="8" w:space="0" w:color="auto"/>
              <w:right w:val="single" w:sz="8" w:space="0" w:color="auto"/>
            </w:tcBorders>
            <w:shd w:val="clear" w:color="auto" w:fill="auto"/>
            <w:vAlign w:val="center"/>
            <w:hideMark/>
          </w:tcPr>
          <w:p w14:paraId="4E027B00"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805.803,82</w:t>
            </w:r>
          </w:p>
        </w:tc>
        <w:tc>
          <w:tcPr>
            <w:tcW w:w="1394" w:type="dxa"/>
            <w:tcBorders>
              <w:top w:val="nil"/>
              <w:left w:val="nil"/>
              <w:bottom w:val="single" w:sz="8" w:space="0" w:color="auto"/>
              <w:right w:val="single" w:sz="8" w:space="0" w:color="auto"/>
            </w:tcBorders>
            <w:shd w:val="clear" w:color="auto" w:fill="auto"/>
            <w:vAlign w:val="center"/>
            <w:hideMark/>
          </w:tcPr>
          <w:p w14:paraId="50358132"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2.040,34</w:t>
            </w:r>
          </w:p>
        </w:tc>
        <w:tc>
          <w:tcPr>
            <w:tcW w:w="1344" w:type="dxa"/>
            <w:tcBorders>
              <w:top w:val="nil"/>
              <w:left w:val="nil"/>
              <w:bottom w:val="single" w:sz="8" w:space="0" w:color="auto"/>
              <w:right w:val="single" w:sz="8" w:space="0" w:color="auto"/>
            </w:tcBorders>
            <w:shd w:val="clear" w:color="auto" w:fill="auto"/>
            <w:vAlign w:val="center"/>
            <w:hideMark/>
          </w:tcPr>
          <w:p w14:paraId="2FAA3EF8"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2.055.150,33</w:t>
            </w:r>
          </w:p>
        </w:tc>
      </w:tr>
      <w:tr w:rsidR="00740432" w:rsidRPr="00DD1154" w14:paraId="65AF0964"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46EDEB1E"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14.</w:t>
            </w:r>
          </w:p>
        </w:tc>
        <w:tc>
          <w:tcPr>
            <w:tcW w:w="1856" w:type="dxa"/>
            <w:tcBorders>
              <w:top w:val="nil"/>
              <w:left w:val="nil"/>
              <w:bottom w:val="single" w:sz="8" w:space="0" w:color="auto"/>
              <w:right w:val="single" w:sz="8" w:space="0" w:color="auto"/>
            </w:tcBorders>
            <w:shd w:val="clear" w:color="auto" w:fill="auto"/>
            <w:vAlign w:val="center"/>
            <w:hideMark/>
          </w:tcPr>
          <w:p w14:paraId="3061B797"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PITOMAČA</w:t>
            </w:r>
          </w:p>
        </w:tc>
        <w:tc>
          <w:tcPr>
            <w:tcW w:w="1476" w:type="dxa"/>
            <w:tcBorders>
              <w:top w:val="nil"/>
              <w:left w:val="nil"/>
              <w:bottom w:val="single" w:sz="8" w:space="0" w:color="auto"/>
              <w:right w:val="single" w:sz="8" w:space="0" w:color="auto"/>
            </w:tcBorders>
            <w:shd w:val="clear" w:color="auto" w:fill="auto"/>
            <w:vAlign w:val="center"/>
            <w:hideMark/>
          </w:tcPr>
          <w:p w14:paraId="2FCCDF98"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Klisa</w:t>
            </w:r>
          </w:p>
        </w:tc>
        <w:tc>
          <w:tcPr>
            <w:tcW w:w="1523" w:type="dxa"/>
            <w:tcBorders>
              <w:top w:val="nil"/>
              <w:left w:val="nil"/>
              <w:bottom w:val="single" w:sz="8" w:space="0" w:color="auto"/>
              <w:right w:val="single" w:sz="8" w:space="0" w:color="auto"/>
            </w:tcBorders>
            <w:shd w:val="clear" w:color="auto" w:fill="auto"/>
            <w:vAlign w:val="center"/>
            <w:hideMark/>
          </w:tcPr>
          <w:p w14:paraId="61AA857C"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2.862.994,49</w:t>
            </w:r>
          </w:p>
        </w:tc>
        <w:tc>
          <w:tcPr>
            <w:tcW w:w="1394" w:type="dxa"/>
            <w:tcBorders>
              <w:top w:val="nil"/>
              <w:left w:val="nil"/>
              <w:bottom w:val="single" w:sz="8" w:space="0" w:color="auto"/>
              <w:right w:val="single" w:sz="8" w:space="0" w:color="auto"/>
            </w:tcBorders>
            <w:shd w:val="clear" w:color="auto" w:fill="auto"/>
            <w:vAlign w:val="center"/>
            <w:hideMark/>
          </w:tcPr>
          <w:p w14:paraId="65CFD9E2"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71E6AC42"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396B552A"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2.862.994,49</w:t>
            </w:r>
          </w:p>
        </w:tc>
      </w:tr>
      <w:tr w:rsidR="00740432" w:rsidRPr="00DD1154" w14:paraId="63EE111F"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07083911"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15.</w:t>
            </w:r>
          </w:p>
        </w:tc>
        <w:tc>
          <w:tcPr>
            <w:tcW w:w="1856" w:type="dxa"/>
            <w:tcBorders>
              <w:top w:val="nil"/>
              <w:left w:val="nil"/>
              <w:bottom w:val="single" w:sz="8" w:space="0" w:color="auto"/>
              <w:right w:val="single" w:sz="8" w:space="0" w:color="auto"/>
            </w:tcBorders>
            <w:shd w:val="clear" w:color="auto" w:fill="auto"/>
            <w:vAlign w:val="center"/>
            <w:hideMark/>
          </w:tcPr>
          <w:p w14:paraId="6181FEB1"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GUNDINCI</w:t>
            </w:r>
          </w:p>
        </w:tc>
        <w:tc>
          <w:tcPr>
            <w:tcW w:w="1476" w:type="dxa"/>
            <w:tcBorders>
              <w:top w:val="nil"/>
              <w:left w:val="nil"/>
              <w:bottom w:val="single" w:sz="8" w:space="0" w:color="auto"/>
              <w:right w:val="single" w:sz="8" w:space="0" w:color="auto"/>
            </w:tcBorders>
            <w:shd w:val="clear" w:color="auto" w:fill="auto"/>
            <w:vAlign w:val="center"/>
            <w:hideMark/>
          </w:tcPr>
          <w:p w14:paraId="5314AB02"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Stružice</w:t>
            </w:r>
          </w:p>
        </w:tc>
        <w:tc>
          <w:tcPr>
            <w:tcW w:w="1523" w:type="dxa"/>
            <w:tcBorders>
              <w:top w:val="nil"/>
              <w:left w:val="nil"/>
              <w:bottom w:val="single" w:sz="8" w:space="0" w:color="auto"/>
              <w:right w:val="single" w:sz="8" w:space="0" w:color="auto"/>
            </w:tcBorders>
            <w:shd w:val="clear" w:color="auto" w:fill="auto"/>
            <w:vAlign w:val="center"/>
            <w:hideMark/>
          </w:tcPr>
          <w:p w14:paraId="5AF15C58"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229.815,50</w:t>
            </w:r>
          </w:p>
        </w:tc>
        <w:tc>
          <w:tcPr>
            <w:tcW w:w="1394" w:type="dxa"/>
            <w:tcBorders>
              <w:top w:val="nil"/>
              <w:left w:val="nil"/>
              <w:bottom w:val="single" w:sz="8" w:space="0" w:color="auto"/>
              <w:right w:val="single" w:sz="8" w:space="0" w:color="auto"/>
            </w:tcBorders>
            <w:shd w:val="clear" w:color="auto" w:fill="auto"/>
            <w:vAlign w:val="center"/>
            <w:hideMark/>
          </w:tcPr>
          <w:p w14:paraId="78707608"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13.273,75</w:t>
            </w:r>
          </w:p>
        </w:tc>
        <w:tc>
          <w:tcPr>
            <w:tcW w:w="1394" w:type="dxa"/>
            <w:tcBorders>
              <w:top w:val="nil"/>
              <w:left w:val="nil"/>
              <w:bottom w:val="single" w:sz="8" w:space="0" w:color="auto"/>
              <w:right w:val="single" w:sz="8" w:space="0" w:color="auto"/>
            </w:tcBorders>
            <w:shd w:val="clear" w:color="auto" w:fill="auto"/>
            <w:vAlign w:val="center"/>
            <w:hideMark/>
          </w:tcPr>
          <w:p w14:paraId="0D6CF77D"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137.250,71</w:t>
            </w:r>
          </w:p>
        </w:tc>
        <w:tc>
          <w:tcPr>
            <w:tcW w:w="1344" w:type="dxa"/>
            <w:tcBorders>
              <w:top w:val="nil"/>
              <w:left w:val="nil"/>
              <w:bottom w:val="single" w:sz="8" w:space="0" w:color="auto"/>
              <w:right w:val="single" w:sz="8" w:space="0" w:color="auto"/>
            </w:tcBorders>
            <w:shd w:val="clear" w:color="auto" w:fill="auto"/>
            <w:vAlign w:val="center"/>
            <w:hideMark/>
          </w:tcPr>
          <w:p w14:paraId="285F1D26"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79.291,04</w:t>
            </w:r>
          </w:p>
        </w:tc>
      </w:tr>
      <w:tr w:rsidR="00740432" w:rsidRPr="00DD1154" w14:paraId="616CEF44"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3F13B5B1"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16.</w:t>
            </w:r>
          </w:p>
        </w:tc>
        <w:tc>
          <w:tcPr>
            <w:tcW w:w="1856" w:type="dxa"/>
            <w:tcBorders>
              <w:top w:val="nil"/>
              <w:left w:val="nil"/>
              <w:bottom w:val="single" w:sz="8" w:space="0" w:color="auto"/>
              <w:right w:val="single" w:sz="8" w:space="0" w:color="auto"/>
            </w:tcBorders>
            <w:shd w:val="clear" w:color="auto" w:fill="auto"/>
            <w:vAlign w:val="center"/>
            <w:hideMark/>
          </w:tcPr>
          <w:p w14:paraId="722E2290"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STARIGRAD</w:t>
            </w:r>
          </w:p>
        </w:tc>
        <w:tc>
          <w:tcPr>
            <w:tcW w:w="1476" w:type="dxa"/>
            <w:tcBorders>
              <w:top w:val="nil"/>
              <w:left w:val="nil"/>
              <w:bottom w:val="single" w:sz="8" w:space="0" w:color="auto"/>
              <w:right w:val="single" w:sz="8" w:space="0" w:color="auto"/>
            </w:tcBorders>
            <w:shd w:val="clear" w:color="auto" w:fill="auto"/>
            <w:vAlign w:val="center"/>
            <w:hideMark/>
          </w:tcPr>
          <w:p w14:paraId="6EF0D14A"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Samograd</w:t>
            </w:r>
          </w:p>
        </w:tc>
        <w:tc>
          <w:tcPr>
            <w:tcW w:w="1523" w:type="dxa"/>
            <w:tcBorders>
              <w:top w:val="nil"/>
              <w:left w:val="nil"/>
              <w:bottom w:val="single" w:sz="8" w:space="0" w:color="auto"/>
              <w:right w:val="single" w:sz="8" w:space="0" w:color="auto"/>
            </w:tcBorders>
            <w:shd w:val="clear" w:color="auto" w:fill="auto"/>
            <w:vAlign w:val="center"/>
            <w:hideMark/>
          </w:tcPr>
          <w:p w14:paraId="279A0224"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537.226,42</w:t>
            </w:r>
          </w:p>
        </w:tc>
        <w:tc>
          <w:tcPr>
            <w:tcW w:w="1394" w:type="dxa"/>
            <w:tcBorders>
              <w:top w:val="nil"/>
              <w:left w:val="nil"/>
              <w:bottom w:val="single" w:sz="8" w:space="0" w:color="auto"/>
              <w:right w:val="single" w:sz="8" w:space="0" w:color="auto"/>
            </w:tcBorders>
            <w:shd w:val="clear" w:color="auto" w:fill="auto"/>
            <w:vAlign w:val="center"/>
            <w:hideMark/>
          </w:tcPr>
          <w:p w14:paraId="5A50D51A"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6A0C1EDC"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6E08C4A5"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537.226,42</w:t>
            </w:r>
          </w:p>
        </w:tc>
      </w:tr>
      <w:tr w:rsidR="00740432" w:rsidRPr="00DD1154" w14:paraId="65E99281"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2B23F153"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17.</w:t>
            </w:r>
          </w:p>
        </w:tc>
        <w:tc>
          <w:tcPr>
            <w:tcW w:w="1856" w:type="dxa"/>
            <w:tcBorders>
              <w:top w:val="nil"/>
              <w:left w:val="nil"/>
              <w:bottom w:val="single" w:sz="8" w:space="0" w:color="auto"/>
              <w:right w:val="single" w:sz="8" w:space="0" w:color="auto"/>
            </w:tcBorders>
            <w:shd w:val="clear" w:color="auto" w:fill="auto"/>
            <w:vAlign w:val="center"/>
            <w:hideMark/>
          </w:tcPr>
          <w:p w14:paraId="1CEDCD07"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OSIJEK</w:t>
            </w:r>
          </w:p>
        </w:tc>
        <w:tc>
          <w:tcPr>
            <w:tcW w:w="1476" w:type="dxa"/>
            <w:tcBorders>
              <w:top w:val="nil"/>
              <w:left w:val="nil"/>
              <w:bottom w:val="single" w:sz="8" w:space="0" w:color="auto"/>
              <w:right w:val="single" w:sz="8" w:space="0" w:color="auto"/>
            </w:tcBorders>
            <w:shd w:val="clear" w:color="auto" w:fill="auto"/>
            <w:vAlign w:val="center"/>
            <w:hideMark/>
          </w:tcPr>
          <w:p w14:paraId="69DF5125"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Nemetin</w:t>
            </w:r>
          </w:p>
        </w:tc>
        <w:tc>
          <w:tcPr>
            <w:tcW w:w="1523" w:type="dxa"/>
            <w:tcBorders>
              <w:top w:val="nil"/>
              <w:left w:val="nil"/>
              <w:bottom w:val="single" w:sz="8" w:space="0" w:color="auto"/>
              <w:right w:val="single" w:sz="8" w:space="0" w:color="auto"/>
            </w:tcBorders>
            <w:shd w:val="clear" w:color="auto" w:fill="auto"/>
            <w:vAlign w:val="center"/>
            <w:hideMark/>
          </w:tcPr>
          <w:p w14:paraId="3738DCD9"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3.529.271,41</w:t>
            </w:r>
          </w:p>
        </w:tc>
        <w:tc>
          <w:tcPr>
            <w:tcW w:w="1394" w:type="dxa"/>
            <w:tcBorders>
              <w:top w:val="nil"/>
              <w:left w:val="nil"/>
              <w:bottom w:val="single" w:sz="8" w:space="0" w:color="auto"/>
              <w:right w:val="single" w:sz="8" w:space="0" w:color="auto"/>
            </w:tcBorders>
            <w:shd w:val="clear" w:color="auto" w:fill="auto"/>
            <w:vAlign w:val="center"/>
            <w:hideMark/>
          </w:tcPr>
          <w:p w14:paraId="1B7D3398" w14:textId="77777777" w:rsidR="003B2F7A" w:rsidRPr="00DD1154" w:rsidRDefault="003B2F7A" w:rsidP="000D78B7">
            <w:pPr>
              <w:spacing w:after="0" w:line="240" w:lineRule="auto"/>
              <w:jc w:val="right"/>
              <w:rPr>
                <w:rFonts w:eastAsia="Times New Roman"/>
                <w:color w:val="000000"/>
                <w:sz w:val="22"/>
                <w:szCs w:val="22"/>
                <w:lang w:eastAsia="hr-HR"/>
              </w:rPr>
            </w:pPr>
            <w:bookmarkStart w:id="13" w:name="RANGE!E18"/>
            <w:r w:rsidRPr="00DD1154">
              <w:rPr>
                <w:rFonts w:eastAsia="Times New Roman"/>
                <w:color w:val="000000"/>
                <w:sz w:val="22"/>
                <w:szCs w:val="22"/>
                <w:lang w:eastAsia="hr-HR"/>
              </w:rPr>
              <w:t>9.000,00</w:t>
            </w:r>
            <w:bookmarkEnd w:id="13"/>
          </w:p>
        </w:tc>
        <w:tc>
          <w:tcPr>
            <w:tcW w:w="1394" w:type="dxa"/>
            <w:tcBorders>
              <w:top w:val="nil"/>
              <w:left w:val="nil"/>
              <w:bottom w:val="single" w:sz="8" w:space="0" w:color="auto"/>
              <w:right w:val="single" w:sz="8" w:space="0" w:color="auto"/>
            </w:tcBorders>
            <w:shd w:val="clear" w:color="auto" w:fill="auto"/>
            <w:vAlign w:val="center"/>
            <w:hideMark/>
          </w:tcPr>
          <w:p w14:paraId="2D3121FD"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2.672.805,61</w:t>
            </w:r>
          </w:p>
        </w:tc>
        <w:tc>
          <w:tcPr>
            <w:tcW w:w="1344" w:type="dxa"/>
            <w:tcBorders>
              <w:top w:val="nil"/>
              <w:left w:val="nil"/>
              <w:bottom w:val="single" w:sz="8" w:space="0" w:color="auto"/>
              <w:right w:val="single" w:sz="8" w:space="0" w:color="auto"/>
            </w:tcBorders>
            <w:shd w:val="clear" w:color="auto" w:fill="auto"/>
            <w:vAlign w:val="center"/>
            <w:hideMark/>
          </w:tcPr>
          <w:p w14:paraId="50F1C399"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847.465,80</w:t>
            </w:r>
          </w:p>
        </w:tc>
      </w:tr>
      <w:tr w:rsidR="00740432" w:rsidRPr="00DD1154" w14:paraId="297BCC7E"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4CA65B78"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18.</w:t>
            </w:r>
          </w:p>
        </w:tc>
        <w:tc>
          <w:tcPr>
            <w:tcW w:w="1856" w:type="dxa"/>
            <w:tcBorders>
              <w:top w:val="nil"/>
              <w:left w:val="nil"/>
              <w:bottom w:val="single" w:sz="8" w:space="0" w:color="auto"/>
              <w:right w:val="single" w:sz="8" w:space="0" w:color="auto"/>
            </w:tcBorders>
            <w:shd w:val="clear" w:color="auto" w:fill="auto"/>
            <w:vAlign w:val="center"/>
            <w:hideMark/>
          </w:tcPr>
          <w:p w14:paraId="250FE70F"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JAGODNJAK</w:t>
            </w:r>
          </w:p>
        </w:tc>
        <w:tc>
          <w:tcPr>
            <w:tcW w:w="1476" w:type="dxa"/>
            <w:tcBorders>
              <w:top w:val="nil"/>
              <w:left w:val="nil"/>
              <w:bottom w:val="single" w:sz="8" w:space="0" w:color="auto"/>
              <w:right w:val="single" w:sz="8" w:space="0" w:color="auto"/>
            </w:tcBorders>
            <w:shd w:val="clear" w:color="auto" w:fill="auto"/>
            <w:vAlign w:val="center"/>
            <w:hideMark/>
          </w:tcPr>
          <w:p w14:paraId="6E1FE378"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Jagodnjak 1</w:t>
            </w:r>
          </w:p>
        </w:tc>
        <w:tc>
          <w:tcPr>
            <w:tcW w:w="1523" w:type="dxa"/>
            <w:tcBorders>
              <w:top w:val="nil"/>
              <w:left w:val="nil"/>
              <w:bottom w:val="single" w:sz="8" w:space="0" w:color="auto"/>
              <w:right w:val="single" w:sz="8" w:space="0" w:color="auto"/>
            </w:tcBorders>
            <w:shd w:val="clear" w:color="auto" w:fill="auto"/>
            <w:vAlign w:val="center"/>
            <w:hideMark/>
          </w:tcPr>
          <w:p w14:paraId="58665533"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614.102,71</w:t>
            </w:r>
          </w:p>
        </w:tc>
        <w:tc>
          <w:tcPr>
            <w:tcW w:w="1394" w:type="dxa"/>
            <w:tcBorders>
              <w:top w:val="nil"/>
              <w:left w:val="nil"/>
              <w:bottom w:val="single" w:sz="8" w:space="0" w:color="auto"/>
              <w:right w:val="single" w:sz="8" w:space="0" w:color="auto"/>
            </w:tcBorders>
            <w:shd w:val="clear" w:color="auto" w:fill="auto"/>
            <w:vAlign w:val="center"/>
            <w:hideMark/>
          </w:tcPr>
          <w:p w14:paraId="68DF60DD"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5C93E83B"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206.248,05</w:t>
            </w:r>
          </w:p>
        </w:tc>
        <w:tc>
          <w:tcPr>
            <w:tcW w:w="1344" w:type="dxa"/>
            <w:tcBorders>
              <w:top w:val="nil"/>
              <w:left w:val="nil"/>
              <w:bottom w:val="single" w:sz="8" w:space="0" w:color="auto"/>
              <w:right w:val="single" w:sz="8" w:space="0" w:color="auto"/>
            </w:tcBorders>
            <w:shd w:val="clear" w:color="auto" w:fill="auto"/>
            <w:vAlign w:val="center"/>
            <w:hideMark/>
          </w:tcPr>
          <w:p w14:paraId="3141197E"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407.854,66</w:t>
            </w:r>
          </w:p>
        </w:tc>
      </w:tr>
      <w:tr w:rsidR="00740432" w:rsidRPr="00DD1154" w14:paraId="38D37A2C"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0D60CFD3"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19.</w:t>
            </w:r>
          </w:p>
        </w:tc>
        <w:tc>
          <w:tcPr>
            <w:tcW w:w="1856" w:type="dxa"/>
            <w:tcBorders>
              <w:top w:val="nil"/>
              <w:left w:val="nil"/>
              <w:bottom w:val="single" w:sz="8" w:space="0" w:color="auto"/>
              <w:right w:val="single" w:sz="8" w:space="0" w:color="auto"/>
            </w:tcBorders>
            <w:shd w:val="clear" w:color="auto" w:fill="auto"/>
            <w:vAlign w:val="center"/>
            <w:hideMark/>
          </w:tcPr>
          <w:p w14:paraId="56118128"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OSIJEK</w:t>
            </w:r>
          </w:p>
        </w:tc>
        <w:tc>
          <w:tcPr>
            <w:tcW w:w="1476" w:type="dxa"/>
            <w:tcBorders>
              <w:top w:val="nil"/>
              <w:left w:val="nil"/>
              <w:bottom w:val="single" w:sz="8" w:space="0" w:color="auto"/>
              <w:right w:val="single" w:sz="8" w:space="0" w:color="auto"/>
            </w:tcBorders>
            <w:shd w:val="clear" w:color="auto" w:fill="auto"/>
            <w:vAlign w:val="center"/>
            <w:hideMark/>
          </w:tcPr>
          <w:p w14:paraId="7894BB83"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Sarvaš</w:t>
            </w:r>
          </w:p>
        </w:tc>
        <w:tc>
          <w:tcPr>
            <w:tcW w:w="1523" w:type="dxa"/>
            <w:tcBorders>
              <w:top w:val="nil"/>
              <w:left w:val="nil"/>
              <w:bottom w:val="single" w:sz="8" w:space="0" w:color="auto"/>
              <w:right w:val="single" w:sz="8" w:space="0" w:color="auto"/>
            </w:tcBorders>
            <w:shd w:val="clear" w:color="auto" w:fill="auto"/>
            <w:vAlign w:val="center"/>
            <w:hideMark/>
          </w:tcPr>
          <w:p w14:paraId="7CEA8493"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7.058.730,43</w:t>
            </w:r>
          </w:p>
        </w:tc>
        <w:tc>
          <w:tcPr>
            <w:tcW w:w="1394" w:type="dxa"/>
            <w:tcBorders>
              <w:top w:val="nil"/>
              <w:left w:val="nil"/>
              <w:bottom w:val="single" w:sz="8" w:space="0" w:color="auto"/>
              <w:right w:val="single" w:sz="8" w:space="0" w:color="auto"/>
            </w:tcBorders>
            <w:shd w:val="clear" w:color="auto" w:fill="auto"/>
            <w:vAlign w:val="center"/>
            <w:hideMark/>
          </w:tcPr>
          <w:p w14:paraId="4BED027F"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5E85AF28"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499D7662"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7.058.730,43</w:t>
            </w:r>
          </w:p>
        </w:tc>
      </w:tr>
      <w:tr w:rsidR="00740432" w:rsidRPr="00DD1154" w14:paraId="7A4A73E4"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2402CB65"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20.</w:t>
            </w:r>
          </w:p>
        </w:tc>
        <w:tc>
          <w:tcPr>
            <w:tcW w:w="1856" w:type="dxa"/>
            <w:tcBorders>
              <w:top w:val="nil"/>
              <w:left w:val="nil"/>
              <w:bottom w:val="single" w:sz="8" w:space="0" w:color="auto"/>
              <w:right w:val="single" w:sz="8" w:space="0" w:color="auto"/>
            </w:tcBorders>
            <w:shd w:val="clear" w:color="auto" w:fill="auto"/>
            <w:vAlign w:val="center"/>
            <w:hideMark/>
          </w:tcPr>
          <w:p w14:paraId="1A419A44"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DRENJE</w:t>
            </w:r>
          </w:p>
        </w:tc>
        <w:tc>
          <w:tcPr>
            <w:tcW w:w="1476" w:type="dxa"/>
            <w:tcBorders>
              <w:top w:val="nil"/>
              <w:left w:val="nil"/>
              <w:bottom w:val="single" w:sz="8" w:space="0" w:color="auto"/>
              <w:right w:val="single" w:sz="8" w:space="0" w:color="auto"/>
            </w:tcBorders>
            <w:shd w:val="clear" w:color="auto" w:fill="auto"/>
            <w:vAlign w:val="center"/>
            <w:hideMark/>
          </w:tcPr>
          <w:p w14:paraId="61C7DB7F"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Kosinac</w:t>
            </w:r>
          </w:p>
        </w:tc>
        <w:tc>
          <w:tcPr>
            <w:tcW w:w="1523" w:type="dxa"/>
            <w:tcBorders>
              <w:top w:val="nil"/>
              <w:left w:val="nil"/>
              <w:bottom w:val="single" w:sz="8" w:space="0" w:color="auto"/>
              <w:right w:val="single" w:sz="8" w:space="0" w:color="auto"/>
            </w:tcBorders>
            <w:shd w:val="clear" w:color="auto" w:fill="auto"/>
            <w:vAlign w:val="center"/>
            <w:hideMark/>
          </w:tcPr>
          <w:p w14:paraId="4B3C8B33"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848.645,17</w:t>
            </w:r>
          </w:p>
        </w:tc>
        <w:tc>
          <w:tcPr>
            <w:tcW w:w="1394" w:type="dxa"/>
            <w:tcBorders>
              <w:top w:val="nil"/>
              <w:left w:val="nil"/>
              <w:bottom w:val="single" w:sz="8" w:space="0" w:color="auto"/>
              <w:right w:val="single" w:sz="8" w:space="0" w:color="auto"/>
            </w:tcBorders>
            <w:shd w:val="clear" w:color="auto" w:fill="auto"/>
            <w:vAlign w:val="center"/>
            <w:hideMark/>
          </w:tcPr>
          <w:p w14:paraId="6CB50B3A"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787C98E4"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5F026786"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848.645,17</w:t>
            </w:r>
          </w:p>
        </w:tc>
      </w:tr>
      <w:tr w:rsidR="00740432" w:rsidRPr="00DD1154" w14:paraId="4277C237"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154CE778"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21.</w:t>
            </w:r>
          </w:p>
        </w:tc>
        <w:tc>
          <w:tcPr>
            <w:tcW w:w="1856" w:type="dxa"/>
            <w:tcBorders>
              <w:top w:val="nil"/>
              <w:left w:val="nil"/>
              <w:bottom w:val="single" w:sz="8" w:space="0" w:color="auto"/>
              <w:right w:val="single" w:sz="8" w:space="0" w:color="auto"/>
            </w:tcBorders>
            <w:shd w:val="clear" w:color="auto" w:fill="auto"/>
            <w:vAlign w:val="center"/>
            <w:hideMark/>
          </w:tcPr>
          <w:p w14:paraId="4258A0F7"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VODICE</w:t>
            </w:r>
          </w:p>
        </w:tc>
        <w:tc>
          <w:tcPr>
            <w:tcW w:w="1476" w:type="dxa"/>
            <w:tcBorders>
              <w:top w:val="nil"/>
              <w:left w:val="nil"/>
              <w:bottom w:val="single" w:sz="8" w:space="0" w:color="auto"/>
              <w:right w:val="single" w:sz="8" w:space="0" w:color="auto"/>
            </w:tcBorders>
            <w:shd w:val="clear" w:color="auto" w:fill="auto"/>
            <w:vAlign w:val="center"/>
            <w:hideMark/>
          </w:tcPr>
          <w:p w14:paraId="5D23EA50"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Leć</w:t>
            </w:r>
          </w:p>
        </w:tc>
        <w:tc>
          <w:tcPr>
            <w:tcW w:w="1523" w:type="dxa"/>
            <w:tcBorders>
              <w:top w:val="nil"/>
              <w:left w:val="nil"/>
              <w:bottom w:val="single" w:sz="8" w:space="0" w:color="auto"/>
              <w:right w:val="single" w:sz="8" w:space="0" w:color="auto"/>
            </w:tcBorders>
            <w:shd w:val="clear" w:color="auto" w:fill="auto"/>
            <w:vAlign w:val="center"/>
            <w:hideMark/>
          </w:tcPr>
          <w:p w14:paraId="45E0DCF3"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1.501.926,79</w:t>
            </w:r>
          </w:p>
        </w:tc>
        <w:tc>
          <w:tcPr>
            <w:tcW w:w="1394" w:type="dxa"/>
            <w:tcBorders>
              <w:top w:val="nil"/>
              <w:left w:val="nil"/>
              <w:bottom w:val="single" w:sz="8" w:space="0" w:color="auto"/>
              <w:right w:val="single" w:sz="8" w:space="0" w:color="auto"/>
            </w:tcBorders>
            <w:shd w:val="clear" w:color="auto" w:fill="auto"/>
            <w:vAlign w:val="center"/>
            <w:hideMark/>
          </w:tcPr>
          <w:p w14:paraId="5E89209B"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931.984,67</w:t>
            </w:r>
          </w:p>
        </w:tc>
        <w:tc>
          <w:tcPr>
            <w:tcW w:w="1394" w:type="dxa"/>
            <w:tcBorders>
              <w:top w:val="nil"/>
              <w:left w:val="nil"/>
              <w:bottom w:val="single" w:sz="8" w:space="0" w:color="auto"/>
              <w:right w:val="single" w:sz="8" w:space="0" w:color="auto"/>
            </w:tcBorders>
            <w:shd w:val="clear" w:color="auto" w:fill="auto"/>
            <w:vAlign w:val="center"/>
            <w:hideMark/>
          </w:tcPr>
          <w:p w14:paraId="4DB4BB57"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331.627,08</w:t>
            </w:r>
          </w:p>
        </w:tc>
        <w:tc>
          <w:tcPr>
            <w:tcW w:w="1344" w:type="dxa"/>
            <w:tcBorders>
              <w:top w:val="nil"/>
              <w:left w:val="nil"/>
              <w:bottom w:val="single" w:sz="8" w:space="0" w:color="auto"/>
              <w:right w:val="single" w:sz="8" w:space="0" w:color="auto"/>
            </w:tcBorders>
            <w:shd w:val="clear" w:color="auto" w:fill="auto"/>
            <w:vAlign w:val="center"/>
            <w:hideMark/>
          </w:tcPr>
          <w:p w14:paraId="2983DB10"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238.315,04</w:t>
            </w:r>
          </w:p>
        </w:tc>
      </w:tr>
      <w:tr w:rsidR="00740432" w:rsidRPr="00DD1154" w14:paraId="1692A104"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076283D0"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22.</w:t>
            </w:r>
          </w:p>
        </w:tc>
        <w:tc>
          <w:tcPr>
            <w:tcW w:w="1856" w:type="dxa"/>
            <w:tcBorders>
              <w:top w:val="nil"/>
              <w:left w:val="nil"/>
              <w:bottom w:val="single" w:sz="8" w:space="0" w:color="auto"/>
              <w:right w:val="single" w:sz="8" w:space="0" w:color="auto"/>
            </w:tcBorders>
            <w:shd w:val="clear" w:color="auto" w:fill="auto"/>
            <w:vAlign w:val="center"/>
            <w:hideMark/>
          </w:tcPr>
          <w:p w14:paraId="69676F25"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DRNIŠ</w:t>
            </w:r>
          </w:p>
        </w:tc>
        <w:tc>
          <w:tcPr>
            <w:tcW w:w="1476" w:type="dxa"/>
            <w:tcBorders>
              <w:top w:val="nil"/>
              <w:left w:val="nil"/>
              <w:bottom w:val="single" w:sz="8" w:space="0" w:color="auto"/>
              <w:right w:val="single" w:sz="8" w:space="0" w:color="auto"/>
            </w:tcBorders>
            <w:shd w:val="clear" w:color="auto" w:fill="auto"/>
            <w:vAlign w:val="center"/>
            <w:hideMark/>
          </w:tcPr>
          <w:p w14:paraId="401FBB34"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Moseć</w:t>
            </w:r>
          </w:p>
        </w:tc>
        <w:tc>
          <w:tcPr>
            <w:tcW w:w="1523" w:type="dxa"/>
            <w:tcBorders>
              <w:top w:val="nil"/>
              <w:left w:val="nil"/>
              <w:bottom w:val="single" w:sz="8" w:space="0" w:color="auto"/>
              <w:right w:val="single" w:sz="8" w:space="0" w:color="auto"/>
            </w:tcBorders>
            <w:shd w:val="clear" w:color="auto" w:fill="auto"/>
            <w:vAlign w:val="center"/>
            <w:hideMark/>
          </w:tcPr>
          <w:p w14:paraId="1C5D8EC9"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1.331.088,05</w:t>
            </w:r>
          </w:p>
        </w:tc>
        <w:tc>
          <w:tcPr>
            <w:tcW w:w="1394" w:type="dxa"/>
            <w:tcBorders>
              <w:top w:val="nil"/>
              <w:left w:val="nil"/>
              <w:bottom w:val="single" w:sz="8" w:space="0" w:color="auto"/>
              <w:right w:val="single" w:sz="8" w:space="0" w:color="auto"/>
            </w:tcBorders>
            <w:shd w:val="clear" w:color="auto" w:fill="auto"/>
            <w:vAlign w:val="center"/>
            <w:hideMark/>
          </w:tcPr>
          <w:p w14:paraId="4C3B8724"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22BC4CEB"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2CDF88DF"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1.331.088,05</w:t>
            </w:r>
          </w:p>
        </w:tc>
      </w:tr>
      <w:tr w:rsidR="00740432" w:rsidRPr="00DD1154" w14:paraId="3F9C3BE0"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1237CD4E"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23.</w:t>
            </w:r>
          </w:p>
        </w:tc>
        <w:tc>
          <w:tcPr>
            <w:tcW w:w="1856" w:type="dxa"/>
            <w:tcBorders>
              <w:top w:val="nil"/>
              <w:left w:val="nil"/>
              <w:bottom w:val="single" w:sz="8" w:space="0" w:color="auto"/>
              <w:right w:val="single" w:sz="8" w:space="0" w:color="auto"/>
            </w:tcBorders>
            <w:shd w:val="clear" w:color="auto" w:fill="auto"/>
            <w:vAlign w:val="center"/>
            <w:hideMark/>
          </w:tcPr>
          <w:p w14:paraId="01CBDB51"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SKRADIN</w:t>
            </w:r>
          </w:p>
        </w:tc>
        <w:tc>
          <w:tcPr>
            <w:tcW w:w="1476" w:type="dxa"/>
            <w:tcBorders>
              <w:top w:val="nil"/>
              <w:left w:val="nil"/>
              <w:bottom w:val="single" w:sz="8" w:space="0" w:color="auto"/>
              <w:right w:val="single" w:sz="8" w:space="0" w:color="auto"/>
            </w:tcBorders>
            <w:shd w:val="clear" w:color="auto" w:fill="auto"/>
            <w:vAlign w:val="center"/>
            <w:hideMark/>
          </w:tcPr>
          <w:p w14:paraId="04A96BD3"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Bratiškovački gaj</w:t>
            </w:r>
          </w:p>
        </w:tc>
        <w:tc>
          <w:tcPr>
            <w:tcW w:w="1523" w:type="dxa"/>
            <w:tcBorders>
              <w:top w:val="nil"/>
              <w:left w:val="nil"/>
              <w:bottom w:val="single" w:sz="8" w:space="0" w:color="auto"/>
              <w:right w:val="single" w:sz="8" w:space="0" w:color="auto"/>
            </w:tcBorders>
            <w:shd w:val="clear" w:color="auto" w:fill="auto"/>
            <w:vAlign w:val="center"/>
            <w:hideMark/>
          </w:tcPr>
          <w:p w14:paraId="729A365F"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1.039.734,88</w:t>
            </w:r>
          </w:p>
        </w:tc>
        <w:tc>
          <w:tcPr>
            <w:tcW w:w="1394" w:type="dxa"/>
            <w:tcBorders>
              <w:top w:val="nil"/>
              <w:left w:val="nil"/>
              <w:bottom w:val="single" w:sz="8" w:space="0" w:color="auto"/>
              <w:right w:val="single" w:sz="8" w:space="0" w:color="auto"/>
            </w:tcBorders>
            <w:shd w:val="clear" w:color="auto" w:fill="auto"/>
            <w:vAlign w:val="center"/>
            <w:hideMark/>
          </w:tcPr>
          <w:p w14:paraId="2124DE9A"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1E7C8D7E"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2B4CE28E"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1.039.734,88</w:t>
            </w:r>
          </w:p>
        </w:tc>
      </w:tr>
      <w:tr w:rsidR="00740432" w:rsidRPr="00DD1154" w14:paraId="2F827EEA"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67B1D57E"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24.</w:t>
            </w:r>
          </w:p>
        </w:tc>
        <w:tc>
          <w:tcPr>
            <w:tcW w:w="1856" w:type="dxa"/>
            <w:tcBorders>
              <w:top w:val="nil"/>
              <w:left w:val="nil"/>
              <w:bottom w:val="single" w:sz="8" w:space="0" w:color="auto"/>
              <w:right w:val="single" w:sz="8" w:space="0" w:color="auto"/>
            </w:tcBorders>
            <w:shd w:val="clear" w:color="auto" w:fill="auto"/>
            <w:vAlign w:val="center"/>
            <w:hideMark/>
          </w:tcPr>
          <w:p w14:paraId="2C5829CD"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DRENOVCI</w:t>
            </w:r>
          </w:p>
        </w:tc>
        <w:tc>
          <w:tcPr>
            <w:tcW w:w="1476" w:type="dxa"/>
            <w:tcBorders>
              <w:top w:val="nil"/>
              <w:left w:val="nil"/>
              <w:bottom w:val="single" w:sz="8" w:space="0" w:color="auto"/>
              <w:right w:val="single" w:sz="8" w:space="0" w:color="auto"/>
            </w:tcBorders>
            <w:shd w:val="clear" w:color="auto" w:fill="auto"/>
            <w:vAlign w:val="center"/>
            <w:hideMark/>
          </w:tcPr>
          <w:p w14:paraId="4D486DF2"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Gajevi</w:t>
            </w:r>
          </w:p>
        </w:tc>
        <w:tc>
          <w:tcPr>
            <w:tcW w:w="1523" w:type="dxa"/>
            <w:tcBorders>
              <w:top w:val="nil"/>
              <w:left w:val="nil"/>
              <w:bottom w:val="single" w:sz="8" w:space="0" w:color="auto"/>
              <w:right w:val="single" w:sz="8" w:space="0" w:color="auto"/>
            </w:tcBorders>
            <w:shd w:val="clear" w:color="auto" w:fill="auto"/>
            <w:vAlign w:val="center"/>
            <w:hideMark/>
          </w:tcPr>
          <w:p w14:paraId="6EAEB9E6"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448.082,86</w:t>
            </w:r>
          </w:p>
        </w:tc>
        <w:tc>
          <w:tcPr>
            <w:tcW w:w="1394" w:type="dxa"/>
            <w:tcBorders>
              <w:top w:val="nil"/>
              <w:left w:val="nil"/>
              <w:bottom w:val="single" w:sz="8" w:space="0" w:color="auto"/>
              <w:right w:val="single" w:sz="8" w:space="0" w:color="auto"/>
            </w:tcBorders>
            <w:shd w:val="clear" w:color="auto" w:fill="auto"/>
            <w:vAlign w:val="center"/>
            <w:hideMark/>
          </w:tcPr>
          <w:p w14:paraId="401E965B" w14:textId="77777777" w:rsidR="003B2F7A" w:rsidRPr="00DD1154" w:rsidRDefault="003B2F7A" w:rsidP="000D78B7">
            <w:pPr>
              <w:spacing w:after="0" w:line="240" w:lineRule="auto"/>
              <w:jc w:val="right"/>
              <w:rPr>
                <w:rFonts w:eastAsia="Times New Roman"/>
                <w:color w:val="000000"/>
                <w:sz w:val="22"/>
                <w:szCs w:val="22"/>
                <w:lang w:eastAsia="hr-HR"/>
              </w:rPr>
            </w:pPr>
            <w:bookmarkStart w:id="14" w:name="RANGE!E25"/>
            <w:r w:rsidRPr="00DD1154">
              <w:rPr>
                <w:rFonts w:eastAsia="Times New Roman"/>
                <w:color w:val="000000"/>
                <w:sz w:val="22"/>
                <w:szCs w:val="22"/>
                <w:lang w:eastAsia="hr-HR"/>
              </w:rPr>
              <w:t>0,00</w:t>
            </w:r>
            <w:bookmarkEnd w:id="14"/>
          </w:p>
        </w:tc>
        <w:tc>
          <w:tcPr>
            <w:tcW w:w="1394" w:type="dxa"/>
            <w:tcBorders>
              <w:top w:val="nil"/>
              <w:left w:val="nil"/>
              <w:bottom w:val="single" w:sz="8" w:space="0" w:color="auto"/>
              <w:right w:val="single" w:sz="8" w:space="0" w:color="auto"/>
            </w:tcBorders>
            <w:shd w:val="clear" w:color="auto" w:fill="auto"/>
            <w:vAlign w:val="center"/>
            <w:hideMark/>
          </w:tcPr>
          <w:p w14:paraId="707AE6D0"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343.757,05</w:t>
            </w:r>
          </w:p>
        </w:tc>
        <w:tc>
          <w:tcPr>
            <w:tcW w:w="1344" w:type="dxa"/>
            <w:tcBorders>
              <w:top w:val="nil"/>
              <w:left w:val="nil"/>
              <w:bottom w:val="single" w:sz="8" w:space="0" w:color="auto"/>
              <w:right w:val="single" w:sz="8" w:space="0" w:color="auto"/>
            </w:tcBorders>
            <w:shd w:val="clear" w:color="auto" w:fill="auto"/>
            <w:vAlign w:val="center"/>
            <w:hideMark/>
          </w:tcPr>
          <w:p w14:paraId="35F5BDE3"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104.325,81</w:t>
            </w:r>
          </w:p>
        </w:tc>
      </w:tr>
      <w:tr w:rsidR="00740432" w:rsidRPr="00DD1154" w14:paraId="48117366"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3C4B9B7E"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25.</w:t>
            </w:r>
          </w:p>
        </w:tc>
        <w:tc>
          <w:tcPr>
            <w:tcW w:w="1856" w:type="dxa"/>
            <w:tcBorders>
              <w:top w:val="nil"/>
              <w:left w:val="nil"/>
              <w:bottom w:val="single" w:sz="8" w:space="0" w:color="auto"/>
              <w:right w:val="single" w:sz="8" w:space="0" w:color="auto"/>
            </w:tcBorders>
            <w:shd w:val="clear" w:color="auto" w:fill="auto"/>
            <w:vAlign w:val="center"/>
            <w:hideMark/>
          </w:tcPr>
          <w:p w14:paraId="3B990B5D"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OPĆINA VRBANJA</w:t>
            </w:r>
          </w:p>
        </w:tc>
        <w:tc>
          <w:tcPr>
            <w:tcW w:w="1476" w:type="dxa"/>
            <w:tcBorders>
              <w:top w:val="nil"/>
              <w:left w:val="nil"/>
              <w:bottom w:val="single" w:sz="8" w:space="0" w:color="auto"/>
              <w:right w:val="single" w:sz="8" w:space="0" w:color="auto"/>
            </w:tcBorders>
            <w:shd w:val="clear" w:color="auto" w:fill="auto"/>
            <w:vAlign w:val="center"/>
            <w:hideMark/>
          </w:tcPr>
          <w:p w14:paraId="7955B969"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Muškovo Ključ</w:t>
            </w:r>
          </w:p>
        </w:tc>
        <w:tc>
          <w:tcPr>
            <w:tcW w:w="1523" w:type="dxa"/>
            <w:tcBorders>
              <w:top w:val="nil"/>
              <w:left w:val="nil"/>
              <w:bottom w:val="single" w:sz="8" w:space="0" w:color="auto"/>
              <w:right w:val="single" w:sz="8" w:space="0" w:color="auto"/>
            </w:tcBorders>
            <w:shd w:val="clear" w:color="auto" w:fill="auto"/>
            <w:vAlign w:val="center"/>
            <w:hideMark/>
          </w:tcPr>
          <w:p w14:paraId="68B6EE0C"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302.025,65</w:t>
            </w:r>
          </w:p>
        </w:tc>
        <w:tc>
          <w:tcPr>
            <w:tcW w:w="1394" w:type="dxa"/>
            <w:tcBorders>
              <w:top w:val="nil"/>
              <w:left w:val="nil"/>
              <w:bottom w:val="single" w:sz="8" w:space="0" w:color="auto"/>
              <w:right w:val="single" w:sz="8" w:space="0" w:color="auto"/>
            </w:tcBorders>
            <w:shd w:val="clear" w:color="auto" w:fill="auto"/>
            <w:vAlign w:val="center"/>
            <w:hideMark/>
          </w:tcPr>
          <w:p w14:paraId="4CD73AC5"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77F66D6E"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43D11B4F"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302.025,65</w:t>
            </w:r>
          </w:p>
        </w:tc>
      </w:tr>
      <w:tr w:rsidR="00740432" w:rsidRPr="00DD1154" w14:paraId="26D8FEF8"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6084F7C1"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26.</w:t>
            </w:r>
          </w:p>
        </w:tc>
        <w:tc>
          <w:tcPr>
            <w:tcW w:w="1856" w:type="dxa"/>
            <w:tcBorders>
              <w:top w:val="nil"/>
              <w:left w:val="nil"/>
              <w:bottom w:val="single" w:sz="8" w:space="0" w:color="auto"/>
              <w:right w:val="single" w:sz="8" w:space="0" w:color="auto"/>
            </w:tcBorders>
            <w:shd w:val="clear" w:color="auto" w:fill="auto"/>
            <w:vAlign w:val="center"/>
            <w:hideMark/>
          </w:tcPr>
          <w:p w14:paraId="68218FF0"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ILOK</w:t>
            </w:r>
          </w:p>
        </w:tc>
        <w:tc>
          <w:tcPr>
            <w:tcW w:w="1476" w:type="dxa"/>
            <w:tcBorders>
              <w:top w:val="nil"/>
              <w:left w:val="nil"/>
              <w:bottom w:val="single" w:sz="8" w:space="0" w:color="auto"/>
              <w:right w:val="single" w:sz="8" w:space="0" w:color="auto"/>
            </w:tcBorders>
            <w:shd w:val="clear" w:color="auto" w:fill="auto"/>
            <w:vAlign w:val="center"/>
            <w:hideMark/>
          </w:tcPr>
          <w:p w14:paraId="6A9BC872"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Božino brdo</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5AA95" w14:textId="77777777" w:rsidR="003B2F7A" w:rsidRPr="00DD1154" w:rsidRDefault="003B2F7A" w:rsidP="000D78B7">
            <w:pPr>
              <w:spacing w:after="0" w:line="240" w:lineRule="auto"/>
              <w:jc w:val="right"/>
              <w:rPr>
                <w:rFonts w:eastAsia="Times New Roman"/>
                <w:sz w:val="22"/>
                <w:szCs w:val="22"/>
                <w:lang w:eastAsia="hr-HR"/>
              </w:rPr>
            </w:pPr>
            <w:r w:rsidRPr="00DD1154">
              <w:rPr>
                <w:rFonts w:eastAsia="Times New Roman"/>
                <w:sz w:val="22"/>
                <w:szCs w:val="22"/>
                <w:lang w:eastAsia="hr-HR"/>
              </w:rPr>
              <w:t>933.589,99</w:t>
            </w:r>
          </w:p>
        </w:tc>
        <w:tc>
          <w:tcPr>
            <w:tcW w:w="1394" w:type="dxa"/>
            <w:tcBorders>
              <w:top w:val="nil"/>
              <w:left w:val="nil"/>
              <w:bottom w:val="single" w:sz="8" w:space="0" w:color="auto"/>
              <w:right w:val="single" w:sz="8" w:space="0" w:color="auto"/>
            </w:tcBorders>
            <w:shd w:val="clear" w:color="auto" w:fill="auto"/>
            <w:vAlign w:val="center"/>
            <w:hideMark/>
          </w:tcPr>
          <w:p w14:paraId="584E08EB"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44B903B3"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08CFCC30"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933.589,99</w:t>
            </w:r>
          </w:p>
        </w:tc>
      </w:tr>
      <w:tr w:rsidR="00740432" w:rsidRPr="00DD1154" w14:paraId="59E11DA4"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6DBA260A"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27.</w:t>
            </w:r>
          </w:p>
        </w:tc>
        <w:tc>
          <w:tcPr>
            <w:tcW w:w="1856" w:type="dxa"/>
            <w:tcBorders>
              <w:top w:val="nil"/>
              <w:left w:val="nil"/>
              <w:bottom w:val="single" w:sz="8" w:space="0" w:color="auto"/>
              <w:right w:val="single" w:sz="8" w:space="0" w:color="auto"/>
            </w:tcBorders>
            <w:shd w:val="clear" w:color="auto" w:fill="auto"/>
            <w:vAlign w:val="center"/>
            <w:hideMark/>
          </w:tcPr>
          <w:p w14:paraId="19524572"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PULA</w:t>
            </w:r>
          </w:p>
        </w:tc>
        <w:tc>
          <w:tcPr>
            <w:tcW w:w="1476" w:type="dxa"/>
            <w:tcBorders>
              <w:top w:val="nil"/>
              <w:left w:val="nil"/>
              <w:bottom w:val="single" w:sz="8" w:space="0" w:color="auto"/>
              <w:right w:val="single" w:sz="8" w:space="0" w:color="auto"/>
            </w:tcBorders>
            <w:shd w:val="clear" w:color="auto" w:fill="auto"/>
            <w:vAlign w:val="center"/>
            <w:hideMark/>
          </w:tcPr>
          <w:p w14:paraId="043EEAFA"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Kaštijun</w:t>
            </w:r>
          </w:p>
        </w:tc>
        <w:tc>
          <w:tcPr>
            <w:tcW w:w="1523" w:type="dxa"/>
            <w:tcBorders>
              <w:top w:val="nil"/>
              <w:left w:val="nil"/>
              <w:bottom w:val="single" w:sz="8" w:space="0" w:color="auto"/>
              <w:right w:val="single" w:sz="8" w:space="0" w:color="auto"/>
            </w:tcBorders>
            <w:shd w:val="clear" w:color="auto" w:fill="auto"/>
            <w:vAlign w:val="center"/>
            <w:hideMark/>
          </w:tcPr>
          <w:p w14:paraId="7CC93403"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2.804.551,21</w:t>
            </w:r>
          </w:p>
        </w:tc>
        <w:tc>
          <w:tcPr>
            <w:tcW w:w="1394" w:type="dxa"/>
            <w:tcBorders>
              <w:top w:val="nil"/>
              <w:left w:val="nil"/>
              <w:bottom w:val="single" w:sz="8" w:space="0" w:color="auto"/>
              <w:right w:val="single" w:sz="8" w:space="0" w:color="auto"/>
            </w:tcBorders>
            <w:shd w:val="clear" w:color="auto" w:fill="auto"/>
            <w:vAlign w:val="center"/>
            <w:hideMark/>
          </w:tcPr>
          <w:p w14:paraId="4DDD43F6"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3C850B5C"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44" w:type="dxa"/>
            <w:tcBorders>
              <w:top w:val="nil"/>
              <w:left w:val="nil"/>
              <w:bottom w:val="single" w:sz="8" w:space="0" w:color="auto"/>
              <w:right w:val="single" w:sz="8" w:space="0" w:color="auto"/>
            </w:tcBorders>
            <w:shd w:val="clear" w:color="auto" w:fill="auto"/>
            <w:vAlign w:val="center"/>
            <w:hideMark/>
          </w:tcPr>
          <w:p w14:paraId="57119DD7"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2.804.551,21</w:t>
            </w:r>
          </w:p>
        </w:tc>
      </w:tr>
      <w:tr w:rsidR="00740432" w:rsidRPr="00DD1154" w14:paraId="7FD7879E" w14:textId="77777777" w:rsidTr="00740432">
        <w:trPr>
          <w:trHeight w:val="6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2C3B02EF" w14:textId="77777777" w:rsidR="003B2F7A" w:rsidRPr="00DD1154" w:rsidRDefault="003B2F7A" w:rsidP="000D78B7">
            <w:pPr>
              <w:spacing w:after="0" w:line="240" w:lineRule="auto"/>
              <w:jc w:val="center"/>
              <w:rPr>
                <w:rFonts w:eastAsia="Times New Roman"/>
                <w:color w:val="000000"/>
                <w:sz w:val="22"/>
                <w:szCs w:val="22"/>
                <w:lang w:eastAsia="hr-HR"/>
              </w:rPr>
            </w:pPr>
            <w:r w:rsidRPr="00DD1154">
              <w:rPr>
                <w:rFonts w:eastAsia="Times New Roman"/>
                <w:color w:val="000000"/>
                <w:sz w:val="22"/>
                <w:szCs w:val="22"/>
                <w:lang w:eastAsia="hr-HR"/>
              </w:rPr>
              <w:t>28.</w:t>
            </w:r>
          </w:p>
        </w:tc>
        <w:tc>
          <w:tcPr>
            <w:tcW w:w="1856" w:type="dxa"/>
            <w:tcBorders>
              <w:top w:val="nil"/>
              <w:left w:val="nil"/>
              <w:bottom w:val="single" w:sz="8" w:space="0" w:color="auto"/>
              <w:right w:val="single" w:sz="8" w:space="0" w:color="auto"/>
            </w:tcBorders>
            <w:shd w:val="clear" w:color="auto" w:fill="auto"/>
            <w:vAlign w:val="center"/>
            <w:hideMark/>
          </w:tcPr>
          <w:p w14:paraId="6EEC42F1"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GRAD PAZIN</w:t>
            </w:r>
          </w:p>
        </w:tc>
        <w:tc>
          <w:tcPr>
            <w:tcW w:w="1476" w:type="dxa"/>
            <w:tcBorders>
              <w:top w:val="nil"/>
              <w:left w:val="nil"/>
              <w:bottom w:val="single" w:sz="8" w:space="0" w:color="auto"/>
              <w:right w:val="single" w:sz="8" w:space="0" w:color="auto"/>
            </w:tcBorders>
            <w:shd w:val="clear" w:color="auto" w:fill="auto"/>
            <w:vAlign w:val="center"/>
            <w:hideMark/>
          </w:tcPr>
          <w:p w14:paraId="78D119A0" w14:textId="77777777" w:rsidR="003B2F7A" w:rsidRPr="00DD1154" w:rsidRDefault="003B2F7A"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Jelenčići V - IV. Faza</w:t>
            </w:r>
          </w:p>
        </w:tc>
        <w:tc>
          <w:tcPr>
            <w:tcW w:w="1523" w:type="dxa"/>
            <w:tcBorders>
              <w:top w:val="nil"/>
              <w:left w:val="nil"/>
              <w:bottom w:val="single" w:sz="8" w:space="0" w:color="auto"/>
              <w:right w:val="single" w:sz="8" w:space="0" w:color="auto"/>
            </w:tcBorders>
            <w:shd w:val="clear" w:color="auto" w:fill="auto"/>
            <w:vAlign w:val="center"/>
            <w:hideMark/>
          </w:tcPr>
          <w:p w14:paraId="08D0F58E"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744.592,33</w:t>
            </w:r>
          </w:p>
        </w:tc>
        <w:tc>
          <w:tcPr>
            <w:tcW w:w="1394" w:type="dxa"/>
            <w:tcBorders>
              <w:top w:val="nil"/>
              <w:left w:val="nil"/>
              <w:bottom w:val="single" w:sz="8" w:space="0" w:color="auto"/>
              <w:right w:val="single" w:sz="8" w:space="0" w:color="auto"/>
            </w:tcBorders>
            <w:shd w:val="clear" w:color="auto" w:fill="auto"/>
            <w:vAlign w:val="center"/>
            <w:hideMark/>
          </w:tcPr>
          <w:p w14:paraId="536907C0"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0,00</w:t>
            </w:r>
          </w:p>
        </w:tc>
        <w:tc>
          <w:tcPr>
            <w:tcW w:w="1394" w:type="dxa"/>
            <w:tcBorders>
              <w:top w:val="nil"/>
              <w:left w:val="nil"/>
              <w:bottom w:val="single" w:sz="8" w:space="0" w:color="auto"/>
              <w:right w:val="single" w:sz="8" w:space="0" w:color="auto"/>
            </w:tcBorders>
            <w:shd w:val="clear" w:color="auto" w:fill="auto"/>
            <w:vAlign w:val="center"/>
            <w:hideMark/>
          </w:tcPr>
          <w:p w14:paraId="7F5B2F4E"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466.018,50</w:t>
            </w:r>
          </w:p>
        </w:tc>
        <w:tc>
          <w:tcPr>
            <w:tcW w:w="1344" w:type="dxa"/>
            <w:tcBorders>
              <w:top w:val="nil"/>
              <w:left w:val="nil"/>
              <w:bottom w:val="single" w:sz="8" w:space="0" w:color="auto"/>
              <w:right w:val="single" w:sz="8" w:space="0" w:color="auto"/>
            </w:tcBorders>
            <w:shd w:val="clear" w:color="auto" w:fill="auto"/>
            <w:vAlign w:val="center"/>
            <w:hideMark/>
          </w:tcPr>
          <w:p w14:paraId="6832CC61" w14:textId="77777777" w:rsidR="003B2F7A" w:rsidRPr="00DD1154" w:rsidRDefault="003B2F7A" w:rsidP="000D78B7">
            <w:pPr>
              <w:spacing w:after="0" w:line="240" w:lineRule="auto"/>
              <w:jc w:val="right"/>
              <w:rPr>
                <w:rFonts w:eastAsia="Times New Roman"/>
                <w:color w:val="000000"/>
                <w:sz w:val="22"/>
                <w:szCs w:val="22"/>
                <w:lang w:eastAsia="hr-HR"/>
              </w:rPr>
            </w:pPr>
            <w:r w:rsidRPr="00DD1154">
              <w:rPr>
                <w:rFonts w:eastAsia="Times New Roman"/>
                <w:color w:val="000000"/>
                <w:sz w:val="22"/>
                <w:szCs w:val="22"/>
                <w:lang w:eastAsia="hr-HR"/>
              </w:rPr>
              <w:t>278.573,83</w:t>
            </w:r>
          </w:p>
        </w:tc>
      </w:tr>
      <w:tr w:rsidR="00740432" w:rsidRPr="00DD1154" w14:paraId="01CFC749" w14:textId="77777777" w:rsidTr="00740432">
        <w:trPr>
          <w:trHeight w:val="315"/>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0A7AA533" w14:textId="77777777" w:rsidR="003B2F7A" w:rsidRPr="00DD1154" w:rsidRDefault="003B2F7A" w:rsidP="000D78B7">
            <w:pPr>
              <w:spacing w:after="0" w:line="240" w:lineRule="auto"/>
              <w:jc w:val="center"/>
              <w:rPr>
                <w:rFonts w:eastAsia="Times New Roman"/>
                <w:b/>
                <w:color w:val="000000"/>
                <w:sz w:val="22"/>
                <w:szCs w:val="22"/>
                <w:lang w:eastAsia="hr-HR"/>
              </w:rPr>
            </w:pPr>
            <w:r w:rsidRPr="00DD1154">
              <w:rPr>
                <w:rFonts w:eastAsia="Times New Roman"/>
                <w:b/>
                <w:color w:val="000000"/>
                <w:sz w:val="22"/>
                <w:szCs w:val="22"/>
                <w:lang w:eastAsia="hr-HR"/>
              </w:rPr>
              <w:t> </w:t>
            </w:r>
          </w:p>
        </w:tc>
        <w:tc>
          <w:tcPr>
            <w:tcW w:w="333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E203F1D" w14:textId="77777777" w:rsidR="003B2F7A" w:rsidRPr="00DD1154" w:rsidRDefault="003B2F7A" w:rsidP="000D78B7">
            <w:pPr>
              <w:spacing w:after="0" w:line="240" w:lineRule="auto"/>
              <w:jc w:val="center"/>
              <w:rPr>
                <w:rFonts w:eastAsia="Times New Roman"/>
                <w:b/>
                <w:bCs/>
                <w:color w:val="000000"/>
                <w:sz w:val="22"/>
                <w:szCs w:val="22"/>
                <w:lang w:eastAsia="hr-HR"/>
              </w:rPr>
            </w:pPr>
            <w:r w:rsidRPr="00DD1154">
              <w:rPr>
                <w:rFonts w:eastAsia="Times New Roman"/>
                <w:b/>
                <w:bCs/>
                <w:color w:val="000000"/>
                <w:sz w:val="22"/>
                <w:szCs w:val="22"/>
                <w:lang w:eastAsia="hr-HR"/>
              </w:rPr>
              <w:t>EU SANACIJE UKUPNO</w:t>
            </w:r>
          </w:p>
        </w:tc>
        <w:tc>
          <w:tcPr>
            <w:tcW w:w="1523" w:type="dxa"/>
            <w:tcBorders>
              <w:top w:val="nil"/>
              <w:left w:val="nil"/>
              <w:bottom w:val="single" w:sz="8" w:space="0" w:color="auto"/>
              <w:right w:val="single" w:sz="8" w:space="0" w:color="auto"/>
            </w:tcBorders>
            <w:shd w:val="clear" w:color="auto" w:fill="auto"/>
            <w:vAlign w:val="center"/>
            <w:hideMark/>
          </w:tcPr>
          <w:p w14:paraId="56220E1B" w14:textId="77777777" w:rsidR="003B2F7A" w:rsidRPr="00DD1154" w:rsidRDefault="003B2F7A" w:rsidP="000D78B7">
            <w:pPr>
              <w:spacing w:after="0" w:line="240" w:lineRule="auto"/>
              <w:jc w:val="right"/>
              <w:rPr>
                <w:rFonts w:eastAsia="Times New Roman"/>
                <w:b/>
                <w:bCs/>
                <w:color w:val="000000"/>
                <w:sz w:val="22"/>
                <w:szCs w:val="22"/>
                <w:lang w:eastAsia="hr-HR"/>
              </w:rPr>
            </w:pPr>
            <w:r w:rsidRPr="00DD1154">
              <w:rPr>
                <w:rFonts w:eastAsia="Times New Roman"/>
                <w:b/>
                <w:bCs/>
                <w:color w:val="000000"/>
                <w:sz w:val="22"/>
                <w:szCs w:val="22"/>
                <w:lang w:eastAsia="hr-HR"/>
              </w:rPr>
              <w:t>41.854.141,11</w:t>
            </w:r>
          </w:p>
        </w:tc>
        <w:tc>
          <w:tcPr>
            <w:tcW w:w="1394" w:type="dxa"/>
            <w:tcBorders>
              <w:top w:val="nil"/>
              <w:left w:val="nil"/>
              <w:bottom w:val="single" w:sz="8" w:space="0" w:color="auto"/>
              <w:right w:val="single" w:sz="8" w:space="0" w:color="auto"/>
            </w:tcBorders>
            <w:shd w:val="clear" w:color="auto" w:fill="auto"/>
            <w:vAlign w:val="center"/>
            <w:hideMark/>
          </w:tcPr>
          <w:p w14:paraId="73840217" w14:textId="77777777" w:rsidR="003B2F7A" w:rsidRPr="00DD1154" w:rsidRDefault="003B2F7A" w:rsidP="000D78B7">
            <w:pPr>
              <w:spacing w:after="0" w:line="240" w:lineRule="auto"/>
              <w:jc w:val="right"/>
              <w:rPr>
                <w:rFonts w:eastAsia="Times New Roman"/>
                <w:b/>
                <w:bCs/>
                <w:color w:val="000000"/>
                <w:sz w:val="22"/>
                <w:szCs w:val="22"/>
                <w:lang w:eastAsia="hr-HR"/>
              </w:rPr>
            </w:pPr>
            <w:r w:rsidRPr="00DD1154">
              <w:rPr>
                <w:rFonts w:eastAsia="Times New Roman"/>
                <w:b/>
                <w:bCs/>
                <w:color w:val="000000"/>
                <w:sz w:val="22"/>
                <w:szCs w:val="22"/>
                <w:lang w:eastAsia="hr-HR"/>
              </w:rPr>
              <w:t>2.198.657,37</w:t>
            </w:r>
          </w:p>
        </w:tc>
        <w:tc>
          <w:tcPr>
            <w:tcW w:w="1394" w:type="dxa"/>
            <w:tcBorders>
              <w:top w:val="nil"/>
              <w:left w:val="nil"/>
              <w:bottom w:val="single" w:sz="8" w:space="0" w:color="auto"/>
              <w:right w:val="single" w:sz="8" w:space="0" w:color="auto"/>
            </w:tcBorders>
            <w:shd w:val="clear" w:color="auto" w:fill="auto"/>
            <w:vAlign w:val="center"/>
            <w:hideMark/>
          </w:tcPr>
          <w:p w14:paraId="2A5115DB" w14:textId="77777777" w:rsidR="003B2F7A" w:rsidRPr="00DD1154" w:rsidRDefault="003B2F7A" w:rsidP="000D78B7">
            <w:pPr>
              <w:spacing w:after="0" w:line="240" w:lineRule="auto"/>
              <w:jc w:val="right"/>
              <w:rPr>
                <w:rFonts w:eastAsia="Times New Roman"/>
                <w:b/>
                <w:bCs/>
                <w:color w:val="000000"/>
                <w:sz w:val="22"/>
                <w:szCs w:val="22"/>
                <w:lang w:eastAsia="hr-HR"/>
              </w:rPr>
            </w:pPr>
            <w:r w:rsidRPr="00DD1154">
              <w:rPr>
                <w:rFonts w:eastAsia="Times New Roman"/>
                <w:b/>
                <w:bCs/>
                <w:color w:val="000000"/>
                <w:sz w:val="22"/>
                <w:szCs w:val="22"/>
                <w:lang w:eastAsia="hr-HR"/>
              </w:rPr>
              <w:t>8.029.159,21</w:t>
            </w:r>
          </w:p>
        </w:tc>
        <w:tc>
          <w:tcPr>
            <w:tcW w:w="1344" w:type="dxa"/>
            <w:tcBorders>
              <w:top w:val="nil"/>
              <w:left w:val="nil"/>
              <w:bottom w:val="single" w:sz="8" w:space="0" w:color="auto"/>
              <w:right w:val="single" w:sz="8" w:space="0" w:color="auto"/>
            </w:tcBorders>
            <w:shd w:val="clear" w:color="auto" w:fill="auto"/>
            <w:vAlign w:val="center"/>
            <w:hideMark/>
          </w:tcPr>
          <w:p w14:paraId="03C042D0" w14:textId="77777777" w:rsidR="003B2F7A" w:rsidRPr="00DD1154" w:rsidRDefault="003B2F7A" w:rsidP="000D78B7">
            <w:pPr>
              <w:spacing w:after="0" w:line="240" w:lineRule="auto"/>
              <w:jc w:val="right"/>
              <w:rPr>
                <w:rFonts w:eastAsia="Times New Roman"/>
                <w:b/>
                <w:bCs/>
                <w:color w:val="000000"/>
                <w:sz w:val="22"/>
                <w:szCs w:val="22"/>
                <w:lang w:eastAsia="hr-HR"/>
              </w:rPr>
            </w:pPr>
            <w:r w:rsidRPr="00DD1154">
              <w:rPr>
                <w:rFonts w:eastAsia="Times New Roman"/>
                <w:b/>
                <w:bCs/>
                <w:color w:val="000000"/>
                <w:sz w:val="22"/>
                <w:szCs w:val="22"/>
                <w:lang w:eastAsia="hr-HR"/>
              </w:rPr>
              <w:t>31.626.324,53</w:t>
            </w:r>
          </w:p>
        </w:tc>
      </w:tr>
    </w:tbl>
    <w:p w14:paraId="1B1CE4F5" w14:textId="77777777" w:rsidR="003B2F7A" w:rsidRPr="00DD1154" w:rsidRDefault="003B2F7A" w:rsidP="003B2F7A">
      <w:pPr>
        <w:spacing w:before="120" w:after="60"/>
        <w:ind w:firstLine="567"/>
        <w:rPr>
          <w:rFonts w:eastAsia="Times New Roman"/>
          <w:sz w:val="22"/>
          <w:szCs w:val="22"/>
          <w:lang w:eastAsia="hr-HR"/>
        </w:rPr>
      </w:pPr>
    </w:p>
    <w:p w14:paraId="02C873E1" w14:textId="77777777" w:rsidR="007D655A" w:rsidRPr="00DD1154" w:rsidRDefault="00311395" w:rsidP="007D655A">
      <w:pPr>
        <w:spacing w:before="120" w:after="60"/>
      </w:pPr>
      <w:r w:rsidRPr="00DD1154">
        <w:t>S ciljem smanjenja emisija kontroliranih tvari i fluoriranih stakleničkih plinova sukladno zahtjevima Montrealskog protokola o tvarima koje oštećuju ozonski sloj i Uredbe o tvarima koje oštećuju ozonski sloj i fluoriranim stakleničkim plinovima (NN 90/14), temeljem kojih su propisane mjere postupnog ukidanja potrošnje kontroliranih tvari te smanjenja emisija fluoriranih stakleničkih plinova, Fond j</w:t>
      </w:r>
      <w:r w:rsidR="00EF36FA" w:rsidRPr="00DD1154">
        <w:t>e u 2018.</w:t>
      </w:r>
      <w:r w:rsidR="006543E5" w:rsidRPr="00DD1154">
        <w:t xml:space="preserve"> godini preuzeo obvezu</w:t>
      </w:r>
      <w:r w:rsidRPr="00DD1154">
        <w:t xml:space="preserve"> financiranja mjere zamjene opreme i/ili uređaja koji sadrže ove tvari u objektu kulturne baštine, odnosno zamjenu halona u zgradi Nacionalne i sveučilišne knjižnice u Zagrebu </w:t>
      </w:r>
      <w:r w:rsidR="003C2B07" w:rsidRPr="00DD1154">
        <w:t>(</w:t>
      </w:r>
      <w:r w:rsidR="003C2B07" w:rsidRPr="00DD1154">
        <w:rPr>
          <w:b/>
          <w:bCs/>
        </w:rPr>
        <w:t>1 projekt</w:t>
      </w:r>
      <w:r w:rsidR="003C2B07" w:rsidRPr="00DD1154">
        <w:t xml:space="preserve">) </w:t>
      </w:r>
      <w:r w:rsidRPr="00DD1154">
        <w:t>koji se koriste u sustavu primarne protupožarne zaštite nacionalne baštine tvarima koje nemaju utjecaj na ozon i s niskim potencijalom globalnog zagrijavanja čime se smanjuje utjecaj na globalno</w:t>
      </w:r>
      <w:r w:rsidR="00E1395C" w:rsidRPr="00DD1154">
        <w:t xml:space="preserve"> zagrijavanje i promjenu klime. Radi </w:t>
      </w:r>
      <w:r w:rsidR="00CD4218" w:rsidRPr="00DD1154">
        <w:t>se o višegodišnjem projektu za čiju</w:t>
      </w:r>
      <w:r w:rsidR="00E1395C" w:rsidRPr="00DD1154">
        <w:t xml:space="preserve"> r</w:t>
      </w:r>
      <w:r w:rsidR="00CD4218" w:rsidRPr="00DD1154">
        <w:t xml:space="preserve">ealizaciju je </w:t>
      </w:r>
      <w:r w:rsidR="00C43772" w:rsidRPr="00DD1154">
        <w:t xml:space="preserve">2018. godine </w:t>
      </w:r>
      <w:r w:rsidR="00CD4218" w:rsidRPr="00DD1154">
        <w:t>sklopljen Ugovor</w:t>
      </w:r>
      <w:r w:rsidR="007D655A" w:rsidRPr="00DD1154">
        <w:t xml:space="preserve"> između Fonda</w:t>
      </w:r>
      <w:r w:rsidR="00FA5EF4" w:rsidRPr="00DD1154">
        <w:t xml:space="preserve"> i Nacionalne i sveučilišne knjižnice u Zagrebu</w:t>
      </w:r>
      <w:r w:rsidR="00CD4218" w:rsidRPr="00DD1154">
        <w:t>.</w:t>
      </w:r>
      <w:r w:rsidR="000D2D9D" w:rsidRPr="00DD1154">
        <w:t xml:space="preserve"> I</w:t>
      </w:r>
      <w:r w:rsidR="00CD4218" w:rsidRPr="00DD1154">
        <w:t>zvođenje radova započe</w:t>
      </w:r>
      <w:r w:rsidR="000D2D9D" w:rsidRPr="00DD1154">
        <w:t>lo je</w:t>
      </w:r>
      <w:r w:rsidR="00E1395C" w:rsidRPr="00DD1154">
        <w:t xml:space="preserve"> tijekom 2019. godine</w:t>
      </w:r>
      <w:r w:rsidR="00CD4218" w:rsidRPr="00DD1154">
        <w:t xml:space="preserve"> nakon provedenog postupka nabave</w:t>
      </w:r>
      <w:r w:rsidR="000D2D9D" w:rsidRPr="00DD1154">
        <w:t xml:space="preserve"> </w:t>
      </w:r>
      <w:r w:rsidR="00C43772" w:rsidRPr="00DD1154">
        <w:t>te je</w:t>
      </w:r>
      <w:r w:rsidR="000D2D9D" w:rsidRPr="00DD1154">
        <w:t xml:space="preserve"> t</w:t>
      </w:r>
      <w:r w:rsidR="006262B4" w:rsidRPr="00DD1154">
        <w:t>ijekom 2019. godine isplaćeno</w:t>
      </w:r>
      <w:r w:rsidR="000D2D9D" w:rsidRPr="00DD1154">
        <w:t xml:space="preserve"> 6.828.837,58 kn</w:t>
      </w:r>
      <w:r w:rsidR="00E1395C" w:rsidRPr="00DD1154">
        <w:t>, a</w:t>
      </w:r>
      <w:r w:rsidR="0075094C" w:rsidRPr="00DD1154">
        <w:t xml:space="preserve"> </w:t>
      </w:r>
      <w:r w:rsidR="00E1395C" w:rsidRPr="00DD1154">
        <w:t>u 2020. 3.329.279,59</w:t>
      </w:r>
      <w:r w:rsidR="0075094C" w:rsidRPr="00DD1154">
        <w:t xml:space="preserve"> </w:t>
      </w:r>
      <w:r w:rsidR="000D2D9D" w:rsidRPr="00DD1154">
        <w:t>kn čime je ukupno na ovaj projekt utrošeno 10.158.117,17 kn.</w:t>
      </w:r>
      <w:r w:rsidR="00FA5EF4" w:rsidRPr="00DD1154">
        <w:t xml:space="preserve"> Preostali iznos od </w:t>
      </w:r>
      <w:r w:rsidR="00016B8D" w:rsidRPr="00DD1154">
        <w:t>1.127.493,38 kn će se realizirati početkom 2021. godine kada se očekuje završetak projek</w:t>
      </w:r>
      <w:r w:rsidR="007D655A" w:rsidRPr="00DD1154">
        <w:t>ta i ishođenje uporabne dozvole o čemu će se izvijestiti u narednom izvještajnom razdoblju.</w:t>
      </w:r>
    </w:p>
    <w:p w14:paraId="59DAC59C" w14:textId="77777777" w:rsidR="007D655A" w:rsidRPr="00DD1154" w:rsidRDefault="007D655A" w:rsidP="007D655A">
      <w:pPr>
        <w:spacing w:before="120" w:after="60"/>
      </w:pPr>
    </w:p>
    <w:p w14:paraId="29CC46BA" w14:textId="206C3DD7" w:rsidR="00075610" w:rsidRPr="00DD1154" w:rsidRDefault="007D655A" w:rsidP="007D655A">
      <w:pPr>
        <w:spacing w:before="120" w:after="60"/>
        <w:rPr>
          <w:color w:val="FF0000"/>
        </w:rPr>
        <w:sectPr w:rsidR="00075610" w:rsidRPr="00DD1154" w:rsidSect="002F5505">
          <w:pgSz w:w="11906" w:h="16838"/>
          <w:pgMar w:top="1417" w:right="1417" w:bottom="1417" w:left="1417" w:header="708" w:footer="708" w:gutter="0"/>
          <w:cols w:space="708"/>
          <w:docGrid w:linePitch="360"/>
        </w:sectPr>
      </w:pPr>
      <w:r w:rsidRPr="00DD1154">
        <w:rPr>
          <w:color w:val="FF0000"/>
        </w:rPr>
        <w:t xml:space="preserve"> </w:t>
      </w:r>
      <w:bookmarkStart w:id="15" w:name="_Toc481668216"/>
    </w:p>
    <w:p w14:paraId="5EA2A1FF" w14:textId="54ABA426" w:rsidR="00BB71CF" w:rsidRPr="00DD1154" w:rsidRDefault="00BB71CF" w:rsidP="00E413FF">
      <w:pPr>
        <w:pStyle w:val="Heading2"/>
        <w:ind w:left="567" w:hanging="567"/>
        <w:rPr>
          <w:rFonts w:ascii="Times New Roman" w:hAnsi="Times New Roman" w:cs="Times New Roman"/>
          <w:sz w:val="24"/>
          <w:szCs w:val="24"/>
        </w:rPr>
      </w:pPr>
      <w:bookmarkStart w:id="16" w:name="_Toc89261074"/>
      <w:r w:rsidRPr="00DD1154">
        <w:rPr>
          <w:rFonts w:ascii="Times New Roman" w:hAnsi="Times New Roman" w:cs="Times New Roman"/>
          <w:sz w:val="24"/>
          <w:szCs w:val="24"/>
        </w:rPr>
        <w:lastRenderedPageBreak/>
        <w:t>Projekti ESI fondova i prioritetne mjere prilagodbe klimatskim promjenama (ESIF)</w:t>
      </w:r>
      <w:bookmarkEnd w:id="16"/>
    </w:p>
    <w:bookmarkEnd w:id="15"/>
    <w:p w14:paraId="5BB5FF38" w14:textId="77777777" w:rsidR="00075610" w:rsidRPr="00DD1154" w:rsidRDefault="00075610" w:rsidP="008D4D94">
      <w:pPr>
        <w:spacing w:before="120" w:after="60"/>
        <w:ind w:firstLine="567"/>
        <w:rPr>
          <w:b/>
          <w:lang w:eastAsia="hr-HR"/>
        </w:rPr>
      </w:pPr>
      <w:r w:rsidRPr="00DD1154">
        <w:rPr>
          <w:b/>
          <w:lang w:eastAsia="hr-HR"/>
        </w:rPr>
        <w:t xml:space="preserve">ESI fondovi. </w:t>
      </w:r>
      <w:r w:rsidRPr="00DD1154">
        <w:rPr>
          <w:lang w:eastAsia="hr-HR"/>
        </w:rPr>
        <w:t xml:space="preserve">Sporazumom o partnerstvu između Republike Hrvatske i Europske komisije za korištenje EU strukturnih i investicijskih fondova za rast i radna mjesta u razdoblju 2014. -2020. godine (Sporazum) identificirano je područje Okoliš, učinkovitost korištenja resursa i klimatske promjene. Temeljem Sporazuma izrađeni su Program ruralnog razvoja Republike Hrvatske za razdoblje 2014. – 2020. godine (PRR) i </w:t>
      </w:r>
      <w:r w:rsidRPr="00DD1154">
        <w:rPr>
          <w:u w:val="single"/>
          <w:lang w:eastAsia="hr-HR"/>
        </w:rPr>
        <w:t>Operativni program Konkurentnost i kohezija 2014. - 2020. godina (OPKK),</w:t>
      </w:r>
      <w:r w:rsidRPr="00DD1154">
        <w:rPr>
          <w:lang w:eastAsia="hr-HR"/>
        </w:rPr>
        <w:t xml:space="preserve"> kojima se sufinanciraju aktivnosti i prioritetne mjere prilagodbe klimatskim promjenama.</w:t>
      </w:r>
    </w:p>
    <w:p w14:paraId="16806694" w14:textId="7B57300D" w:rsidR="00B10180" w:rsidRPr="00DD1154" w:rsidRDefault="00075610" w:rsidP="008D4D94">
      <w:pPr>
        <w:tabs>
          <w:tab w:val="left" w:pos="709"/>
        </w:tabs>
        <w:spacing w:before="60" w:after="60"/>
        <w:ind w:firstLine="567"/>
      </w:pPr>
      <w:r w:rsidRPr="00DD1154">
        <w:t>Ovim Planom je omogućeno financiranje nacionalne komponente do 15</w:t>
      </w:r>
      <w:r w:rsidR="00485B28" w:rsidRPr="00DD1154">
        <w:t xml:space="preserve"> </w:t>
      </w:r>
      <w:r w:rsidRPr="00DD1154">
        <w:t>% u</w:t>
      </w:r>
      <w:r w:rsidR="00B10180" w:rsidRPr="00DD1154">
        <w:t>kupne vrijednosti pojedinačnih</w:t>
      </w:r>
      <w:r w:rsidR="00B002DB" w:rsidRPr="00DD1154">
        <w:t xml:space="preserve"> </w:t>
      </w:r>
      <w:r w:rsidR="00B10180" w:rsidRPr="00DD1154">
        <w:t>projekata</w:t>
      </w:r>
      <w:r w:rsidRPr="00DD1154">
        <w:t xml:space="preserve"> u okviru OPKK u nadležnosti </w:t>
      </w:r>
      <w:r w:rsidR="00B10180" w:rsidRPr="00DD1154">
        <w:t>MINGOR/PT1 (klima i zrak),</w:t>
      </w:r>
      <w:r w:rsidR="00984ECE" w:rsidRPr="00DD1154">
        <w:t xml:space="preserve"> </w:t>
      </w:r>
      <w:r w:rsidRPr="00DD1154">
        <w:t>MRRFEU/PT1 (bior</w:t>
      </w:r>
      <w:r w:rsidR="00B10180" w:rsidRPr="00DD1154">
        <w:t>aznolikost) i MINGOR/SNT te za projekte prilagodbe klimatskim promjenama.</w:t>
      </w:r>
    </w:p>
    <w:p w14:paraId="7C3CC498" w14:textId="6DD1CF6C" w:rsidR="00984ECE" w:rsidRPr="00DD1154" w:rsidRDefault="00B10180" w:rsidP="008D4D94">
      <w:pPr>
        <w:tabs>
          <w:tab w:val="left" w:pos="709"/>
        </w:tabs>
        <w:spacing w:before="120" w:after="60"/>
        <w:ind w:firstLine="567"/>
      </w:pPr>
      <w:r w:rsidRPr="00DD1154">
        <w:rPr>
          <w:b/>
        </w:rPr>
        <w:t xml:space="preserve">U </w:t>
      </w:r>
      <w:r w:rsidR="00576937" w:rsidRPr="00DD1154">
        <w:rPr>
          <w:b/>
        </w:rPr>
        <w:t xml:space="preserve">2019. i </w:t>
      </w:r>
      <w:r w:rsidRPr="00DD1154">
        <w:rPr>
          <w:b/>
        </w:rPr>
        <w:t>2020. godini ukupno za prioritetnu mjeru ESIF koja se odnosi na nacionalnu komponentu za projekte financirane iz OPKK i za projekte prilagodbe k</w:t>
      </w:r>
      <w:r w:rsidR="007918B0" w:rsidRPr="00DD1154">
        <w:rPr>
          <w:b/>
        </w:rPr>
        <w:t>limatskim promjenama, za ukupno</w:t>
      </w:r>
      <w:r w:rsidRPr="00DD1154">
        <w:rPr>
          <w:b/>
        </w:rPr>
        <w:t xml:space="preserve"> </w:t>
      </w:r>
      <w:r w:rsidR="008B6D0C" w:rsidRPr="00DD1154">
        <w:rPr>
          <w:b/>
        </w:rPr>
        <w:t xml:space="preserve">37 </w:t>
      </w:r>
      <w:r w:rsidRPr="00DD1154">
        <w:rPr>
          <w:b/>
        </w:rPr>
        <w:t xml:space="preserve">projekta, isplaćena su sredstva u iznosu od </w:t>
      </w:r>
      <w:r w:rsidR="00576937" w:rsidRPr="00DD1154">
        <w:rPr>
          <w:rFonts w:eastAsia="Times New Roman"/>
          <w:b/>
          <w:lang w:eastAsia="hr-HR"/>
        </w:rPr>
        <w:t>33.132.183,13 kn</w:t>
      </w:r>
      <w:r w:rsidR="00631686" w:rsidRPr="00DD1154">
        <w:rPr>
          <w:b/>
        </w:rPr>
        <w:t xml:space="preserve"> koja se odnose na:</w:t>
      </w:r>
    </w:p>
    <w:p w14:paraId="4377360C" w14:textId="47636CDC" w:rsidR="00984ECE" w:rsidRPr="00DD1154" w:rsidRDefault="00B002DB" w:rsidP="00094706">
      <w:pPr>
        <w:pStyle w:val="ListParagraph"/>
        <w:numPr>
          <w:ilvl w:val="0"/>
          <w:numId w:val="4"/>
        </w:numPr>
        <w:tabs>
          <w:tab w:val="left" w:pos="709"/>
        </w:tabs>
        <w:spacing w:after="0"/>
        <w:rPr>
          <w:bCs/>
        </w:rPr>
      </w:pPr>
      <w:r w:rsidRPr="00DD1154">
        <w:t>Specifični cilj OPKK 5a1.1.</w:t>
      </w:r>
      <w:r w:rsidR="00DA7D75" w:rsidRPr="00DD1154">
        <w:t>:</w:t>
      </w:r>
      <w:r w:rsidRPr="00DD1154">
        <w:t xml:space="preserve"> </w:t>
      </w:r>
      <w:r w:rsidRPr="00DD1154">
        <w:rPr>
          <w:i/>
        </w:rPr>
        <w:t>Projekt modernizacije meteorološke mreže – METMONIC</w:t>
      </w:r>
      <w:r w:rsidR="003907E1" w:rsidRPr="00DD1154">
        <w:rPr>
          <w:i/>
        </w:rPr>
        <w:t xml:space="preserve"> </w:t>
      </w:r>
      <w:r w:rsidR="003907E1" w:rsidRPr="00DD1154">
        <w:rPr>
          <w:b/>
          <w:bCs/>
          <w:iCs/>
        </w:rPr>
        <w:t>(1 projekt)</w:t>
      </w:r>
      <w:r w:rsidRPr="00DD1154">
        <w:rPr>
          <w:b/>
          <w:bCs/>
          <w:iCs/>
        </w:rPr>
        <w:t>,</w:t>
      </w:r>
      <w:r w:rsidR="001767A5" w:rsidRPr="00DD1154">
        <w:t xml:space="preserve"> provodi Državni hidrometeorološki zavod,</w:t>
      </w:r>
      <w:r w:rsidR="00CB75E5" w:rsidRPr="00DD1154">
        <w:t xml:space="preserve"> realizacijom projekta omogućit će se kontinuirano praćenje vremena, klime i klimatskih promjena te davanja pravovremenog upozorenja na opasne vremenske prilike, s ciljem podrške sustavima prilagodbe na klimatske promjene i djelovanja u slučaju prirodnih nepogoda, čime se ostvaruje izravna podrška održivom razvoju te povećanju sigurnosti i očuvanju ljudskih života i dobara. </w:t>
      </w:r>
      <w:r w:rsidR="00123D3D" w:rsidRPr="00DD1154">
        <w:t>Fond je</w:t>
      </w:r>
      <w:r w:rsidR="00094706" w:rsidRPr="00DD1154">
        <w:t xml:space="preserve"> u 2019. isplatio sredstva u iznosu od</w:t>
      </w:r>
      <w:r w:rsidR="00094706" w:rsidRPr="00DD1154">
        <w:rPr>
          <w:bCs/>
        </w:rPr>
        <w:t xml:space="preserve"> </w:t>
      </w:r>
      <w:r w:rsidR="00094706" w:rsidRPr="00DD1154">
        <w:t xml:space="preserve">1.047.928,31 </w:t>
      </w:r>
      <w:r w:rsidR="006C04A7" w:rsidRPr="00DD1154">
        <w:t>kn</w:t>
      </w:r>
      <w:r w:rsidR="00094706" w:rsidRPr="00DD1154">
        <w:t>, a u 2020. godini 1.491.031,11</w:t>
      </w:r>
      <w:r w:rsidR="00094706" w:rsidRPr="00DD1154">
        <w:rPr>
          <w:bCs/>
        </w:rPr>
        <w:t xml:space="preserve"> </w:t>
      </w:r>
      <w:r w:rsidR="006C04A7" w:rsidRPr="00DD1154">
        <w:rPr>
          <w:bCs/>
        </w:rPr>
        <w:t>kn</w:t>
      </w:r>
      <w:r w:rsidR="00094706" w:rsidRPr="00DD1154">
        <w:rPr>
          <w:bCs/>
        </w:rPr>
        <w:t xml:space="preserve">, odnosno ukupno </w:t>
      </w:r>
      <w:r w:rsidR="00094706" w:rsidRPr="00DD1154">
        <w:rPr>
          <w:b/>
        </w:rPr>
        <w:t xml:space="preserve">2.538.959,42 </w:t>
      </w:r>
      <w:r w:rsidR="006C04A7" w:rsidRPr="00DD1154">
        <w:rPr>
          <w:b/>
        </w:rPr>
        <w:t>kn</w:t>
      </w:r>
      <w:r w:rsidR="00094706" w:rsidRPr="00DD1154">
        <w:rPr>
          <w:b/>
        </w:rPr>
        <w:t>.</w:t>
      </w:r>
      <w:r w:rsidR="00094706" w:rsidRPr="00DD1154">
        <w:rPr>
          <w:bCs/>
        </w:rPr>
        <w:t xml:space="preserve"> Po ovom projektu preostaje za isplatu 49.048.216,56 </w:t>
      </w:r>
      <w:r w:rsidR="006C04A7" w:rsidRPr="00DD1154">
        <w:rPr>
          <w:bCs/>
        </w:rPr>
        <w:t>kn</w:t>
      </w:r>
      <w:r w:rsidR="00094706" w:rsidRPr="00DD1154">
        <w:rPr>
          <w:bCs/>
        </w:rPr>
        <w:t xml:space="preserve"> koja bi se trebala realizirati do konca 2023.</w:t>
      </w:r>
    </w:p>
    <w:p w14:paraId="1D98B582" w14:textId="5086B92A" w:rsidR="00DA7D75" w:rsidRPr="00DD1154" w:rsidRDefault="00621900" w:rsidP="008D4D94">
      <w:pPr>
        <w:pStyle w:val="ListParagraph"/>
        <w:numPr>
          <w:ilvl w:val="0"/>
          <w:numId w:val="3"/>
        </w:numPr>
        <w:tabs>
          <w:tab w:val="left" w:pos="709"/>
        </w:tabs>
        <w:spacing w:after="0"/>
      </w:pPr>
      <w:r w:rsidRPr="00DD1154">
        <w:t xml:space="preserve">Specifični cilj OPKK 5a1.2.: </w:t>
      </w:r>
      <w:r w:rsidR="00E54B2A" w:rsidRPr="00DD1154">
        <w:t>MINGOR je u 2019. godini iz OPKK objavio otvoreni poziv na dostavu projektnih p</w:t>
      </w:r>
      <w:r w:rsidR="00FA3CBB" w:rsidRPr="00DD1154">
        <w:t>rijedloga</w:t>
      </w:r>
      <w:r w:rsidR="00576937" w:rsidRPr="00DD1154">
        <w:t xml:space="preserve"> pod nazivom</w:t>
      </w:r>
      <w:r w:rsidR="00E54B2A" w:rsidRPr="00DD1154">
        <w:t xml:space="preserve"> </w:t>
      </w:r>
      <w:r w:rsidR="00E54B2A" w:rsidRPr="00DD1154">
        <w:rPr>
          <w:i/>
        </w:rPr>
        <w:t>„Shema za jačanje primijenjenih istraživanja za mjere prilagodbe klimatskih promjena“</w:t>
      </w:r>
      <w:r w:rsidR="00E54B2A" w:rsidRPr="00DD1154">
        <w:t>. Predmet Poziva je bio potaknuti poboljšanje kvalitete i raspoloživosti podataka iz područja klime, jačanjem znanstvenih istraživanja o mogućnostima prilagodbe klimatskim promjenama (jačanje otpornosti) u R</w:t>
      </w:r>
      <w:r w:rsidR="00FA3CBB" w:rsidRPr="00DD1154">
        <w:t>epublici Hrvatskoj. Svrha</w:t>
      </w:r>
      <w:r w:rsidR="00E54B2A" w:rsidRPr="00DD1154">
        <w:t xml:space="preserve"> Poziva je bio pružiti potporu provedbi primijenjenih istraživanja za mjere prilagodbe klimatskim promjenama u ranjivim i/ili transverzalnim sektorima iz Sedmog nacionalnog izvješća Republike Hrvatske prema Okvirnoj konvenciji Ujedinjenih naroda o promjeni klime. Odobreno je 25 znanstvenih projekata za koje je Fond dodatno osigurao nacionalnu komponentu do 15</w:t>
      </w:r>
      <w:r w:rsidR="00485B28" w:rsidRPr="00DD1154">
        <w:t xml:space="preserve"> </w:t>
      </w:r>
      <w:r w:rsidR="00E54B2A" w:rsidRPr="00DD1154">
        <w:t>% opravdanih troškova. Realizacija projekat</w:t>
      </w:r>
      <w:r w:rsidR="00681176" w:rsidRPr="00DD1154">
        <w:t>a je započe</w:t>
      </w:r>
      <w:r w:rsidR="00094706" w:rsidRPr="00DD1154">
        <w:t>l</w:t>
      </w:r>
      <w:r w:rsidR="00681176" w:rsidRPr="00DD1154">
        <w:t xml:space="preserve">a u 2020. te je za </w:t>
      </w:r>
      <w:r w:rsidR="00681176" w:rsidRPr="00DD1154">
        <w:rPr>
          <w:b/>
          <w:bCs/>
        </w:rPr>
        <w:t>11</w:t>
      </w:r>
      <w:r w:rsidR="00E54B2A" w:rsidRPr="00DD1154">
        <w:rPr>
          <w:b/>
          <w:bCs/>
        </w:rPr>
        <w:t xml:space="preserve"> projekta</w:t>
      </w:r>
      <w:r w:rsidR="00E54B2A" w:rsidRPr="00DD1154">
        <w:t xml:space="preserve"> </w:t>
      </w:r>
      <w:r w:rsidR="00E54B2A" w:rsidRPr="00DD1154">
        <w:rPr>
          <w:b/>
          <w:bCs/>
        </w:rPr>
        <w:t xml:space="preserve">isplaćeno </w:t>
      </w:r>
      <w:r w:rsidR="007E1E7C" w:rsidRPr="00DD1154">
        <w:rPr>
          <w:b/>
          <w:bCs/>
        </w:rPr>
        <w:t xml:space="preserve">158.857,65 </w:t>
      </w:r>
      <w:r w:rsidR="006C04A7" w:rsidRPr="00DD1154">
        <w:rPr>
          <w:b/>
          <w:bCs/>
        </w:rPr>
        <w:t>kn</w:t>
      </w:r>
      <w:r w:rsidR="007E1E7C" w:rsidRPr="00DD1154">
        <w:rPr>
          <w:b/>
          <w:bCs/>
        </w:rPr>
        <w:t>.</w:t>
      </w:r>
    </w:p>
    <w:p w14:paraId="7BB2FD14" w14:textId="0223E8A2" w:rsidR="00F04175" w:rsidRPr="00DD1154" w:rsidRDefault="00E93566" w:rsidP="00E93566">
      <w:pPr>
        <w:pStyle w:val="ListParagraph"/>
        <w:tabs>
          <w:tab w:val="left" w:pos="709"/>
        </w:tabs>
        <w:spacing w:after="0"/>
        <w:rPr>
          <w:bCs/>
        </w:rPr>
      </w:pPr>
      <w:r w:rsidRPr="00DD1154">
        <w:rPr>
          <w:bCs/>
        </w:rPr>
        <w:t xml:space="preserve">Po ovom projektu preostaje za isplatu 7.920.500,00 </w:t>
      </w:r>
      <w:r w:rsidR="006C04A7" w:rsidRPr="00DD1154">
        <w:rPr>
          <w:bCs/>
        </w:rPr>
        <w:t>kn</w:t>
      </w:r>
      <w:r w:rsidRPr="00DD1154">
        <w:rPr>
          <w:bCs/>
        </w:rPr>
        <w:t xml:space="preserve"> koja bi se trebala realizirati do konca 2023.</w:t>
      </w:r>
    </w:p>
    <w:p w14:paraId="78A6A907" w14:textId="228C0F66" w:rsidR="009642E9" w:rsidRPr="00DD1154" w:rsidRDefault="00984ECE" w:rsidP="002C2667">
      <w:pPr>
        <w:pStyle w:val="ListParagraph"/>
        <w:numPr>
          <w:ilvl w:val="0"/>
          <w:numId w:val="4"/>
        </w:numPr>
        <w:tabs>
          <w:tab w:val="left" w:pos="709"/>
        </w:tabs>
        <w:spacing w:after="0"/>
        <w:rPr>
          <w:bCs/>
        </w:rPr>
      </w:pPr>
      <w:r w:rsidRPr="00DD1154">
        <w:t>Specifični cilj O</w:t>
      </w:r>
      <w:r w:rsidR="00FA3CBB" w:rsidRPr="00DD1154">
        <w:t xml:space="preserve">PKK 6e1.1. </w:t>
      </w:r>
      <w:r w:rsidR="00FA3CBB" w:rsidRPr="00DD1154">
        <w:rPr>
          <w:i/>
        </w:rPr>
        <w:t>Projekt modernizacija i nadogradnja</w:t>
      </w:r>
      <w:r w:rsidRPr="00DD1154">
        <w:rPr>
          <w:i/>
        </w:rPr>
        <w:t xml:space="preserve"> državne mreže za trajno praćenje kvalitete zraka</w:t>
      </w:r>
      <w:r w:rsidR="00B002DB" w:rsidRPr="00DD1154">
        <w:rPr>
          <w:i/>
        </w:rPr>
        <w:t xml:space="preserve"> – AIRQ</w:t>
      </w:r>
      <w:r w:rsidR="003907E1" w:rsidRPr="00DD1154">
        <w:rPr>
          <w:i/>
        </w:rPr>
        <w:t xml:space="preserve"> </w:t>
      </w:r>
      <w:r w:rsidR="003907E1" w:rsidRPr="00DD1154">
        <w:rPr>
          <w:iCs/>
        </w:rPr>
        <w:t>(</w:t>
      </w:r>
      <w:r w:rsidR="003907E1" w:rsidRPr="00DD1154">
        <w:rPr>
          <w:b/>
          <w:bCs/>
          <w:iCs/>
        </w:rPr>
        <w:t>1 projekt</w:t>
      </w:r>
      <w:r w:rsidR="003907E1" w:rsidRPr="00DD1154">
        <w:rPr>
          <w:iCs/>
        </w:rPr>
        <w:t>)</w:t>
      </w:r>
      <w:r w:rsidR="00B002DB" w:rsidRPr="00DD1154">
        <w:rPr>
          <w:iCs/>
        </w:rPr>
        <w:t>,</w:t>
      </w:r>
      <w:r w:rsidR="001767A5" w:rsidRPr="00DD1154">
        <w:t xml:space="preserve"> provodi Državni hidrometeorološki zavod,</w:t>
      </w:r>
      <w:r w:rsidR="006543E5" w:rsidRPr="00DD1154">
        <w:t xml:space="preserve"> </w:t>
      </w:r>
      <w:r w:rsidR="009642E9" w:rsidRPr="00DD1154">
        <w:t xml:space="preserve">a partner na projektu je Institut za medicinska istraživanja i medicinu rada. Projektom će se uspostaviti odgovarajući sustav za praćenje i upravljanje onečišćenjem zraka prema zahtjevima Direktive 2008/50/EZ o čistom zraku za Europu zamjenom dotrajale opreme </w:t>
      </w:r>
      <w:r w:rsidR="00FA3CBB" w:rsidRPr="00DD1154">
        <w:t xml:space="preserve">na 14 mjernih postaja </w:t>
      </w:r>
      <w:r w:rsidR="009642E9" w:rsidRPr="00DD1154">
        <w:t xml:space="preserve">te </w:t>
      </w:r>
      <w:r w:rsidR="00FA3CBB" w:rsidRPr="00DD1154">
        <w:t>uspostaviti 5 nova mjerna mjesta čime će se osigurati funkcionalnost i dovoljan broj</w:t>
      </w:r>
      <w:r w:rsidR="009642E9" w:rsidRPr="00DD1154">
        <w:t xml:space="preserve"> mjernih mjesta sa ciljem ispunjenja međunarodnih obveza.</w:t>
      </w:r>
      <w:r w:rsidR="00E93566" w:rsidRPr="00DD1154">
        <w:t xml:space="preserve"> </w:t>
      </w:r>
      <w:r w:rsidR="00E93566" w:rsidRPr="00DD1154">
        <w:lastRenderedPageBreak/>
        <w:t>Fond je u 2019. isplatio sredstva u iznosu od</w:t>
      </w:r>
      <w:r w:rsidR="00E93566" w:rsidRPr="00DD1154">
        <w:rPr>
          <w:bCs/>
        </w:rPr>
        <w:t xml:space="preserve"> </w:t>
      </w:r>
      <w:r w:rsidR="002A649A" w:rsidRPr="00DD1154">
        <w:t>3.345.246,01</w:t>
      </w:r>
      <w:r w:rsidR="00E93566" w:rsidRPr="00DD1154">
        <w:t xml:space="preserve"> </w:t>
      </w:r>
      <w:r w:rsidR="006C04A7" w:rsidRPr="00DD1154">
        <w:t>kn</w:t>
      </w:r>
      <w:r w:rsidR="00E93566" w:rsidRPr="00DD1154">
        <w:t>, a u 2020. godini</w:t>
      </w:r>
      <w:r w:rsidR="002C2667" w:rsidRPr="00DD1154">
        <w:t xml:space="preserve"> 3.542.651,98</w:t>
      </w:r>
      <w:r w:rsidR="00E93566" w:rsidRPr="00DD1154">
        <w:rPr>
          <w:bCs/>
        </w:rPr>
        <w:t xml:space="preserve"> </w:t>
      </w:r>
      <w:r w:rsidR="006C04A7" w:rsidRPr="00DD1154">
        <w:rPr>
          <w:bCs/>
        </w:rPr>
        <w:t>kn</w:t>
      </w:r>
      <w:r w:rsidR="00E93566" w:rsidRPr="00DD1154">
        <w:rPr>
          <w:bCs/>
        </w:rPr>
        <w:t xml:space="preserve">, odnosno </w:t>
      </w:r>
      <w:r w:rsidR="00E93566" w:rsidRPr="00DD1154">
        <w:rPr>
          <w:b/>
        </w:rPr>
        <w:t xml:space="preserve">ukupno </w:t>
      </w:r>
      <w:r w:rsidR="002C2667" w:rsidRPr="00DD1154">
        <w:rPr>
          <w:b/>
        </w:rPr>
        <w:t>6.887.897</w:t>
      </w:r>
      <w:r w:rsidR="00E0174D" w:rsidRPr="00DD1154">
        <w:rPr>
          <w:b/>
        </w:rPr>
        <w:t>,</w:t>
      </w:r>
      <w:r w:rsidR="002C2667" w:rsidRPr="00DD1154">
        <w:rPr>
          <w:b/>
        </w:rPr>
        <w:t>99</w:t>
      </w:r>
      <w:r w:rsidR="00E93566" w:rsidRPr="00DD1154">
        <w:rPr>
          <w:b/>
        </w:rPr>
        <w:t xml:space="preserve"> </w:t>
      </w:r>
      <w:r w:rsidR="006C04A7" w:rsidRPr="00DD1154">
        <w:rPr>
          <w:b/>
        </w:rPr>
        <w:t>kn</w:t>
      </w:r>
      <w:r w:rsidR="00E93566" w:rsidRPr="00DD1154">
        <w:rPr>
          <w:bCs/>
        </w:rPr>
        <w:t xml:space="preserve">. Po ovom projektu preostaje za isplatu </w:t>
      </w:r>
      <w:r w:rsidR="002C2667" w:rsidRPr="00DD1154">
        <w:rPr>
          <w:bCs/>
        </w:rPr>
        <w:t>11.880.627,01</w:t>
      </w:r>
      <w:r w:rsidR="00E93566" w:rsidRPr="00DD1154">
        <w:rPr>
          <w:bCs/>
        </w:rPr>
        <w:t xml:space="preserve"> </w:t>
      </w:r>
      <w:r w:rsidR="006C04A7" w:rsidRPr="00DD1154">
        <w:rPr>
          <w:bCs/>
        </w:rPr>
        <w:t>kn</w:t>
      </w:r>
      <w:r w:rsidR="00E93566" w:rsidRPr="00DD1154">
        <w:rPr>
          <w:bCs/>
        </w:rPr>
        <w:t xml:space="preserve"> koja bi se trebala realizirati do konca 2023.</w:t>
      </w:r>
    </w:p>
    <w:p w14:paraId="6377DD30" w14:textId="32FD4C75" w:rsidR="009642E9" w:rsidRPr="00DD1154" w:rsidRDefault="00984ECE" w:rsidP="002C2667">
      <w:pPr>
        <w:pStyle w:val="ListParagraph"/>
        <w:numPr>
          <w:ilvl w:val="0"/>
          <w:numId w:val="4"/>
        </w:numPr>
        <w:tabs>
          <w:tab w:val="left" w:pos="709"/>
        </w:tabs>
        <w:spacing w:after="0"/>
        <w:rPr>
          <w:bCs/>
        </w:rPr>
      </w:pPr>
      <w:r w:rsidRPr="00DD1154">
        <w:t>Specifični cilj OPKK 6e1.2.</w:t>
      </w:r>
      <w:r w:rsidR="005A108E" w:rsidRPr="00DD1154">
        <w:t>, projekt</w:t>
      </w:r>
      <w:r w:rsidRPr="00DD1154">
        <w:t xml:space="preserve"> </w:t>
      </w:r>
      <w:r w:rsidRPr="00DD1154">
        <w:rPr>
          <w:i/>
        </w:rPr>
        <w:t>Uspostava nacionalnoga referentnog laboratorija za ispitivanje emisija iz ne-cestovnih pokretnih strojeva</w:t>
      </w:r>
      <w:r w:rsidR="002C4B21" w:rsidRPr="00DD1154">
        <w:t xml:space="preserve"> </w:t>
      </w:r>
      <w:r w:rsidR="00F94C47" w:rsidRPr="00DD1154">
        <w:t>(</w:t>
      </w:r>
      <w:r w:rsidR="00F94C47" w:rsidRPr="00DD1154">
        <w:rPr>
          <w:b/>
          <w:bCs/>
        </w:rPr>
        <w:t>1 projekt</w:t>
      </w:r>
      <w:r w:rsidR="00F94C47" w:rsidRPr="00DD1154">
        <w:t xml:space="preserve">) </w:t>
      </w:r>
      <w:r w:rsidR="002C4B21" w:rsidRPr="00DD1154">
        <w:t>provodi Sveučilište u Zagrebu, Faku</w:t>
      </w:r>
      <w:r w:rsidR="00834875" w:rsidRPr="00DD1154">
        <w:t>ltet strojarstva i brodogradnje, koji je jedini u RH akreditiran kao ispitni laboratorij sukladno normi HRN EN ISO/IEC 17025 za mjerne metode u području određivanja emisija motora s unutarnjim izgaranjem te posjeduje ovlaštenje za obavljanje poslova u postupku utvrđivanja sukladnosti, pregleda i ispitivanja motora s unutarnjim izgaranjem koji se ugrađuju u necestovne pokretne strojeve.</w:t>
      </w:r>
      <w:r w:rsidR="005A108E" w:rsidRPr="00DD1154">
        <w:t xml:space="preserve"> Uspostavom akreditiranog Nacionalnog referentnog laboratorija ispunit će se međunarodna obveza RH prema kojoj je potrebno uspostaviti „tehničku službu“ za provedbu ispitivanja ili za ocjenjivanje sukladnosti za provedbu prvobitne ocjene motora s unutarnjim izgaranjem.</w:t>
      </w:r>
      <w:r w:rsidR="00123D3D" w:rsidRPr="00DD1154">
        <w:t xml:space="preserve"> </w:t>
      </w:r>
      <w:r w:rsidR="002C2667" w:rsidRPr="00DD1154">
        <w:t>Fond je u 2019. isplatio sredstva u iznosu od</w:t>
      </w:r>
      <w:r w:rsidR="002C2667" w:rsidRPr="00DD1154">
        <w:rPr>
          <w:bCs/>
        </w:rPr>
        <w:t xml:space="preserve"> </w:t>
      </w:r>
      <w:r w:rsidR="002C2667" w:rsidRPr="00DD1154">
        <w:t xml:space="preserve">174.613,50 </w:t>
      </w:r>
      <w:r w:rsidR="006C04A7" w:rsidRPr="00DD1154">
        <w:t>kn</w:t>
      </w:r>
      <w:r w:rsidR="002C2667" w:rsidRPr="00DD1154">
        <w:t>, a u 2020. godini 515.007,76</w:t>
      </w:r>
      <w:r w:rsidR="002C2667" w:rsidRPr="00DD1154">
        <w:rPr>
          <w:bCs/>
        </w:rPr>
        <w:t xml:space="preserve"> </w:t>
      </w:r>
      <w:r w:rsidR="006C04A7" w:rsidRPr="00DD1154">
        <w:rPr>
          <w:bCs/>
        </w:rPr>
        <w:t>kn</w:t>
      </w:r>
      <w:r w:rsidR="002C2667" w:rsidRPr="00DD1154">
        <w:rPr>
          <w:bCs/>
        </w:rPr>
        <w:t xml:space="preserve">, odnosno </w:t>
      </w:r>
      <w:r w:rsidR="002C2667" w:rsidRPr="00DD1154">
        <w:rPr>
          <w:b/>
        </w:rPr>
        <w:t>ukupno 6</w:t>
      </w:r>
      <w:r w:rsidR="0031178B" w:rsidRPr="00DD1154">
        <w:rPr>
          <w:b/>
        </w:rPr>
        <w:t>89.621,26</w:t>
      </w:r>
      <w:r w:rsidR="002C2667" w:rsidRPr="00DD1154">
        <w:rPr>
          <w:b/>
        </w:rPr>
        <w:t xml:space="preserve"> </w:t>
      </w:r>
      <w:r w:rsidR="006C04A7" w:rsidRPr="00DD1154">
        <w:rPr>
          <w:b/>
        </w:rPr>
        <w:t>kn</w:t>
      </w:r>
      <w:r w:rsidR="002C2667" w:rsidRPr="00DD1154">
        <w:rPr>
          <w:b/>
        </w:rPr>
        <w:t>.</w:t>
      </w:r>
      <w:r w:rsidR="002C2667" w:rsidRPr="00DD1154">
        <w:rPr>
          <w:bCs/>
        </w:rPr>
        <w:t xml:space="preserve"> Po ovom projektu preostaje za isplatu 7.828.093,20 </w:t>
      </w:r>
      <w:r w:rsidR="006C04A7" w:rsidRPr="00DD1154">
        <w:rPr>
          <w:bCs/>
        </w:rPr>
        <w:t>kn</w:t>
      </w:r>
      <w:r w:rsidR="002C2667" w:rsidRPr="00DD1154">
        <w:rPr>
          <w:bCs/>
        </w:rPr>
        <w:t xml:space="preserve"> koja bi se trebala realizirati do konca 2023.</w:t>
      </w:r>
    </w:p>
    <w:p w14:paraId="75464C4E" w14:textId="1A57C18D" w:rsidR="000D78B7" w:rsidRPr="00DD1154" w:rsidRDefault="002242CE" w:rsidP="000D78B7">
      <w:pPr>
        <w:pStyle w:val="ListParagraph"/>
        <w:numPr>
          <w:ilvl w:val="0"/>
          <w:numId w:val="4"/>
        </w:numPr>
        <w:tabs>
          <w:tab w:val="left" w:pos="709"/>
        </w:tabs>
        <w:spacing w:after="0"/>
        <w:rPr>
          <w:b/>
        </w:rPr>
      </w:pPr>
      <w:r w:rsidRPr="00DD1154">
        <w:t xml:space="preserve">Specifični cilj OPKK 6c2.: </w:t>
      </w:r>
      <w:r w:rsidR="00BD7B2B" w:rsidRPr="00DD1154">
        <w:t>Promicanje održivog korištenja prirodne baštine u nacionalnim parkovima i parkov</w:t>
      </w:r>
      <w:r w:rsidR="00B002DB" w:rsidRPr="00DD1154">
        <w:t>ima prirode</w:t>
      </w:r>
      <w:r w:rsidR="001767A5" w:rsidRPr="00DD1154">
        <w:t>,</w:t>
      </w:r>
      <w:r w:rsidR="00B002DB" w:rsidRPr="00DD1154">
        <w:t xml:space="preserve"> </w:t>
      </w:r>
      <w:r w:rsidR="005075BE" w:rsidRPr="00DD1154">
        <w:rPr>
          <w:b/>
          <w:bCs/>
        </w:rPr>
        <w:t>18</w:t>
      </w:r>
      <w:r w:rsidR="005D79DE" w:rsidRPr="00DD1154">
        <w:rPr>
          <w:b/>
          <w:bCs/>
        </w:rPr>
        <w:t xml:space="preserve"> projekata</w:t>
      </w:r>
      <w:r w:rsidR="005D79DE" w:rsidRPr="00DD1154">
        <w:t xml:space="preserve"> </w:t>
      </w:r>
      <w:r w:rsidR="002C4B21" w:rsidRPr="00DD1154">
        <w:t>kojega provode javne ustanove parko</w:t>
      </w:r>
      <w:r w:rsidR="00474ADB" w:rsidRPr="00DD1154">
        <w:t>vi prirode i nacionalni parkovi</w:t>
      </w:r>
      <w:r w:rsidR="005617DB" w:rsidRPr="00DD1154">
        <w:t xml:space="preserve"> navedeni u </w:t>
      </w:r>
      <w:r w:rsidR="005617DB" w:rsidRPr="00DD1154">
        <w:rPr>
          <w:b/>
        </w:rPr>
        <w:t>Tablici 2.2.</w:t>
      </w:r>
      <w:r w:rsidR="004A643E" w:rsidRPr="00DD1154">
        <w:rPr>
          <w:b/>
        </w:rPr>
        <w:t>,</w:t>
      </w:r>
      <w:r w:rsidR="004A643E" w:rsidRPr="00DD1154">
        <w:t xml:space="preserve"> a koji obuhvaćaju ulaganja u izgradnju posjetiteljske infrastrukture, edukativne i prezentacijske sadržaje u cilju održivog korištenja prirodne baštine.</w:t>
      </w:r>
      <w:r w:rsidR="00326D6F" w:rsidRPr="00DD1154">
        <w:t xml:space="preserve"> Fond je u </w:t>
      </w:r>
      <w:r w:rsidR="000D78B7" w:rsidRPr="00DD1154">
        <w:t>2019. isplatio sredstva u iznosu od</w:t>
      </w:r>
      <w:r w:rsidR="000D78B7" w:rsidRPr="00DD1154">
        <w:rPr>
          <w:bCs/>
        </w:rPr>
        <w:t xml:space="preserve"> </w:t>
      </w:r>
      <w:r w:rsidR="000D78B7" w:rsidRPr="00DD1154">
        <w:t>4.463.630,77</w:t>
      </w:r>
      <w:r w:rsidR="00A93BB9" w:rsidRPr="00DD1154">
        <w:t xml:space="preserve"> </w:t>
      </w:r>
      <w:r w:rsidR="006C04A7" w:rsidRPr="00DD1154">
        <w:t>kn</w:t>
      </w:r>
      <w:r w:rsidR="00A93BB9" w:rsidRPr="00DD1154">
        <w:t>,</w:t>
      </w:r>
      <w:r w:rsidR="000D78B7" w:rsidRPr="00DD1154">
        <w:t xml:space="preserve"> a u 2020. godini </w:t>
      </w:r>
      <w:r w:rsidR="000D78B7" w:rsidRPr="00DD1154">
        <w:rPr>
          <w:bCs/>
        </w:rPr>
        <w:t>15.144.242,11</w:t>
      </w:r>
      <w:r w:rsidR="00A93BB9" w:rsidRPr="00DD1154">
        <w:rPr>
          <w:bCs/>
        </w:rPr>
        <w:t xml:space="preserve"> </w:t>
      </w:r>
      <w:r w:rsidR="006C04A7" w:rsidRPr="00DD1154">
        <w:rPr>
          <w:bCs/>
        </w:rPr>
        <w:t>kn</w:t>
      </w:r>
      <w:r w:rsidR="000D78B7" w:rsidRPr="00DD1154">
        <w:rPr>
          <w:bCs/>
        </w:rPr>
        <w:t>,</w:t>
      </w:r>
      <w:r w:rsidR="00A93BB9" w:rsidRPr="00DD1154">
        <w:rPr>
          <w:bCs/>
        </w:rPr>
        <w:t xml:space="preserve"> odnosno </w:t>
      </w:r>
      <w:r w:rsidR="00A93BB9" w:rsidRPr="00DD1154">
        <w:rPr>
          <w:b/>
        </w:rPr>
        <w:t xml:space="preserve">ukupno 19.607.872,88 </w:t>
      </w:r>
      <w:r w:rsidR="006C04A7" w:rsidRPr="00DD1154">
        <w:rPr>
          <w:b/>
        </w:rPr>
        <w:t>kn</w:t>
      </w:r>
      <w:r w:rsidR="000D78B7" w:rsidRPr="00DD1154">
        <w:rPr>
          <w:b/>
        </w:rPr>
        <w:t>.</w:t>
      </w:r>
    </w:p>
    <w:p w14:paraId="06983005" w14:textId="641F66CA" w:rsidR="00326D6F" w:rsidRPr="00DD1154" w:rsidRDefault="00326D6F" w:rsidP="000D78B7">
      <w:pPr>
        <w:tabs>
          <w:tab w:val="left" w:pos="709"/>
        </w:tabs>
        <w:spacing w:after="0"/>
        <w:ind w:left="360"/>
        <w:rPr>
          <w:bCs/>
        </w:rPr>
      </w:pPr>
    </w:p>
    <w:p w14:paraId="7E239362" w14:textId="17D2D19B" w:rsidR="000D78B7" w:rsidRPr="00DD1154" w:rsidRDefault="005617DB" w:rsidP="000D78B7">
      <w:pPr>
        <w:tabs>
          <w:tab w:val="left" w:pos="709"/>
        </w:tabs>
        <w:spacing w:after="0"/>
        <w:rPr>
          <w:bCs/>
        </w:rPr>
      </w:pPr>
      <w:r w:rsidRPr="00DD1154">
        <w:rPr>
          <w:b/>
          <w:bCs/>
        </w:rPr>
        <w:t>Tablica 2.2.:</w:t>
      </w:r>
      <w:r w:rsidRPr="00DD1154">
        <w:rPr>
          <w:bCs/>
        </w:rPr>
        <w:t xml:space="preserve"> Projekti sufinancirani EU sredstvima iz specifičnog cilja 6c2. za koje se osigurava nacionalna komponenta</w:t>
      </w:r>
    </w:p>
    <w:tbl>
      <w:tblPr>
        <w:tblW w:w="8363" w:type="dxa"/>
        <w:tblInd w:w="704" w:type="dxa"/>
        <w:tblLook w:val="04A0" w:firstRow="1" w:lastRow="0" w:firstColumn="1" w:lastColumn="0" w:noHBand="0" w:noVBand="1"/>
      </w:tblPr>
      <w:tblGrid>
        <w:gridCol w:w="2336"/>
        <w:gridCol w:w="6027"/>
      </w:tblGrid>
      <w:tr w:rsidR="000D78B7" w:rsidRPr="00DD1154" w14:paraId="70175349" w14:textId="77777777" w:rsidTr="000D78B7">
        <w:trPr>
          <w:trHeight w:val="600"/>
        </w:trPr>
        <w:tc>
          <w:tcPr>
            <w:tcW w:w="2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A0054"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NP PAKLENICA</w:t>
            </w:r>
          </w:p>
        </w:tc>
        <w:tc>
          <w:tcPr>
            <w:tcW w:w="6027" w:type="dxa"/>
            <w:tcBorders>
              <w:top w:val="single" w:sz="4" w:space="0" w:color="auto"/>
              <w:left w:val="nil"/>
              <w:bottom w:val="single" w:sz="4" w:space="0" w:color="auto"/>
              <w:right w:val="single" w:sz="4" w:space="0" w:color="auto"/>
            </w:tcBorders>
            <w:shd w:val="clear" w:color="auto" w:fill="auto"/>
            <w:vAlign w:val="bottom"/>
            <w:hideMark/>
          </w:tcPr>
          <w:p w14:paraId="074B5562"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Podzemni grad u srcu Velebita - razvoj održivog i sigurnog aktivnog turizma u NP Paklenica i širem velebitskom području</w:t>
            </w:r>
          </w:p>
        </w:tc>
      </w:tr>
      <w:tr w:rsidR="000D78B7" w:rsidRPr="00DD1154" w14:paraId="5DD3A906" w14:textId="77777777" w:rsidTr="000D78B7">
        <w:trPr>
          <w:trHeight w:val="405"/>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49E30AAF"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NP BRIJUNI</w:t>
            </w:r>
          </w:p>
        </w:tc>
        <w:tc>
          <w:tcPr>
            <w:tcW w:w="6027" w:type="dxa"/>
            <w:tcBorders>
              <w:top w:val="nil"/>
              <w:left w:val="nil"/>
              <w:bottom w:val="single" w:sz="4" w:space="0" w:color="auto"/>
              <w:right w:val="single" w:sz="4" w:space="0" w:color="auto"/>
            </w:tcBorders>
            <w:shd w:val="clear" w:color="auto" w:fill="auto"/>
            <w:noWrap/>
            <w:vAlign w:val="bottom"/>
            <w:hideMark/>
          </w:tcPr>
          <w:p w14:paraId="261DBC75"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Novo ruho Brijuna</w:t>
            </w:r>
          </w:p>
        </w:tc>
      </w:tr>
      <w:tr w:rsidR="000D78B7" w:rsidRPr="00DD1154" w14:paraId="73E224EB" w14:textId="77777777" w:rsidTr="000D78B7">
        <w:trPr>
          <w:trHeight w:val="600"/>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1C0820D3"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NP KORNATI</w:t>
            </w:r>
          </w:p>
        </w:tc>
        <w:tc>
          <w:tcPr>
            <w:tcW w:w="6027" w:type="dxa"/>
            <w:tcBorders>
              <w:top w:val="nil"/>
              <w:left w:val="nil"/>
              <w:bottom w:val="single" w:sz="4" w:space="0" w:color="auto"/>
              <w:right w:val="single" w:sz="4" w:space="0" w:color="auto"/>
            </w:tcBorders>
            <w:shd w:val="clear" w:color="auto" w:fill="auto"/>
            <w:vAlign w:val="bottom"/>
            <w:hideMark/>
          </w:tcPr>
          <w:p w14:paraId="7EE009BA" w14:textId="6CF91EB0"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Redivi</w:t>
            </w:r>
            <w:r w:rsidR="005617DB" w:rsidRPr="00DD1154">
              <w:rPr>
                <w:rFonts w:eastAsia="Times New Roman"/>
                <w:color w:val="000000"/>
                <w:sz w:val="22"/>
                <w:szCs w:val="22"/>
                <w:lang w:eastAsia="hr-HR"/>
              </w:rPr>
              <w:t>va Ko</w:t>
            </w:r>
            <w:r w:rsidRPr="00DD1154">
              <w:rPr>
                <w:rFonts w:eastAsia="Times New Roman"/>
                <w:color w:val="000000"/>
                <w:sz w:val="22"/>
                <w:szCs w:val="22"/>
                <w:lang w:eastAsia="hr-HR"/>
              </w:rPr>
              <w:t>rnata: Promicanje održivog korištenja prirodne baštine u Nacionalnom parku Kornati</w:t>
            </w:r>
          </w:p>
        </w:tc>
      </w:tr>
      <w:tr w:rsidR="000D78B7" w:rsidRPr="00DD1154" w14:paraId="52668DA2" w14:textId="77777777" w:rsidTr="000D78B7">
        <w:trPr>
          <w:trHeight w:val="900"/>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45AF516B"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NP MLJET</w:t>
            </w:r>
          </w:p>
        </w:tc>
        <w:tc>
          <w:tcPr>
            <w:tcW w:w="6027" w:type="dxa"/>
            <w:tcBorders>
              <w:top w:val="nil"/>
              <w:left w:val="nil"/>
              <w:bottom w:val="single" w:sz="4" w:space="0" w:color="auto"/>
              <w:right w:val="single" w:sz="4" w:space="0" w:color="auto"/>
            </w:tcBorders>
            <w:shd w:val="clear" w:color="auto" w:fill="auto"/>
            <w:vAlign w:val="bottom"/>
            <w:hideMark/>
          </w:tcPr>
          <w:p w14:paraId="71D34E0F"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Unapređenje sustava održivog upravljanja, turističke valorizacije i interpretacije prirodne baštine na području NP Mljet, MLJET-ODISE(J)A MEDITERRANEA</w:t>
            </w:r>
          </w:p>
        </w:tc>
      </w:tr>
      <w:tr w:rsidR="000D78B7" w:rsidRPr="00DD1154" w14:paraId="62D81A2A" w14:textId="77777777" w:rsidTr="000D78B7">
        <w:trPr>
          <w:trHeight w:val="405"/>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4354672E"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NP RISNJAK</w:t>
            </w:r>
          </w:p>
        </w:tc>
        <w:tc>
          <w:tcPr>
            <w:tcW w:w="6027" w:type="dxa"/>
            <w:tcBorders>
              <w:top w:val="nil"/>
              <w:left w:val="nil"/>
              <w:bottom w:val="single" w:sz="4" w:space="0" w:color="auto"/>
              <w:right w:val="single" w:sz="4" w:space="0" w:color="auto"/>
            </w:tcBorders>
            <w:shd w:val="clear" w:color="auto" w:fill="auto"/>
            <w:noWrap/>
            <w:vAlign w:val="bottom"/>
            <w:hideMark/>
          </w:tcPr>
          <w:p w14:paraId="180715B2"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Volonterski centar sa smještajnim kapacitetima hostelskog tipa</w:t>
            </w:r>
          </w:p>
        </w:tc>
      </w:tr>
      <w:tr w:rsidR="000D78B7" w:rsidRPr="00DD1154" w14:paraId="73860506" w14:textId="77777777" w:rsidTr="000D78B7">
        <w:trPr>
          <w:trHeight w:val="600"/>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1770A88F"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BIOKOVO</w:t>
            </w:r>
          </w:p>
        </w:tc>
        <w:tc>
          <w:tcPr>
            <w:tcW w:w="6027" w:type="dxa"/>
            <w:tcBorders>
              <w:top w:val="nil"/>
              <w:left w:val="nil"/>
              <w:bottom w:val="single" w:sz="4" w:space="0" w:color="auto"/>
              <w:right w:val="single" w:sz="4" w:space="0" w:color="auto"/>
            </w:tcBorders>
            <w:shd w:val="clear" w:color="auto" w:fill="auto"/>
            <w:vAlign w:val="bottom"/>
            <w:hideMark/>
          </w:tcPr>
          <w:p w14:paraId="57FF2D9F"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Novi Adrion - Promicanje održivog korištenja prirodne baštine PP Biokovo</w:t>
            </w:r>
          </w:p>
        </w:tc>
      </w:tr>
      <w:tr w:rsidR="000D78B7" w:rsidRPr="00DD1154" w14:paraId="30A1F84C" w14:textId="77777777" w:rsidTr="000D78B7">
        <w:trPr>
          <w:trHeight w:val="600"/>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777BB654"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KOPAČKI RIT</w:t>
            </w:r>
          </w:p>
        </w:tc>
        <w:tc>
          <w:tcPr>
            <w:tcW w:w="6027" w:type="dxa"/>
            <w:tcBorders>
              <w:top w:val="nil"/>
              <w:left w:val="nil"/>
              <w:bottom w:val="single" w:sz="4" w:space="0" w:color="auto"/>
              <w:right w:val="single" w:sz="4" w:space="0" w:color="auto"/>
            </w:tcBorders>
            <w:shd w:val="clear" w:color="auto" w:fill="auto"/>
            <w:vAlign w:val="bottom"/>
            <w:hideMark/>
          </w:tcPr>
          <w:p w14:paraId="600EBE28"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Projekt izgradnje turističkog pristaništa Sakadaš u Parku prirode Kopački rit</w:t>
            </w:r>
          </w:p>
        </w:tc>
      </w:tr>
      <w:tr w:rsidR="000D78B7" w:rsidRPr="00DD1154" w14:paraId="7082319C" w14:textId="77777777" w:rsidTr="000D78B7">
        <w:trPr>
          <w:trHeight w:val="405"/>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50BF4770"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KOPAČKI RIT</w:t>
            </w:r>
          </w:p>
        </w:tc>
        <w:tc>
          <w:tcPr>
            <w:tcW w:w="6027" w:type="dxa"/>
            <w:tcBorders>
              <w:top w:val="nil"/>
              <w:left w:val="nil"/>
              <w:bottom w:val="single" w:sz="4" w:space="0" w:color="auto"/>
              <w:right w:val="single" w:sz="4" w:space="0" w:color="auto"/>
            </w:tcBorders>
            <w:shd w:val="clear" w:color="auto" w:fill="auto"/>
            <w:noWrap/>
            <w:vAlign w:val="bottom"/>
            <w:hideMark/>
          </w:tcPr>
          <w:p w14:paraId="552466A2"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Prezentacijsko edukacijski centar Tikveš</w:t>
            </w:r>
          </w:p>
        </w:tc>
      </w:tr>
      <w:tr w:rsidR="000D78B7" w:rsidRPr="00DD1154" w14:paraId="05B884D7" w14:textId="77777777" w:rsidTr="000D78B7">
        <w:trPr>
          <w:trHeight w:val="600"/>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4DB628EE"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LASTOVSKO OTOČJE</w:t>
            </w:r>
          </w:p>
        </w:tc>
        <w:tc>
          <w:tcPr>
            <w:tcW w:w="6027" w:type="dxa"/>
            <w:tcBorders>
              <w:top w:val="nil"/>
              <w:left w:val="nil"/>
              <w:bottom w:val="single" w:sz="4" w:space="0" w:color="auto"/>
              <w:right w:val="single" w:sz="4" w:space="0" w:color="auto"/>
            </w:tcBorders>
            <w:shd w:val="clear" w:color="auto" w:fill="auto"/>
            <w:vAlign w:val="bottom"/>
            <w:hideMark/>
          </w:tcPr>
          <w:p w14:paraId="604D04A8"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Ulaganje u posjetiteljsku infrastrukturu Javne ustanove Park prirode Lastovsko otočje</w:t>
            </w:r>
          </w:p>
        </w:tc>
      </w:tr>
      <w:tr w:rsidR="000D78B7" w:rsidRPr="00DD1154" w14:paraId="033884ED" w14:textId="77777777" w:rsidTr="000D78B7">
        <w:trPr>
          <w:trHeight w:val="600"/>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12CCDD7C"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LONJSKO POLJE</w:t>
            </w:r>
          </w:p>
        </w:tc>
        <w:tc>
          <w:tcPr>
            <w:tcW w:w="6027" w:type="dxa"/>
            <w:tcBorders>
              <w:top w:val="nil"/>
              <w:left w:val="nil"/>
              <w:bottom w:val="single" w:sz="4" w:space="0" w:color="auto"/>
              <w:right w:val="single" w:sz="4" w:space="0" w:color="auto"/>
            </w:tcBorders>
            <w:shd w:val="clear" w:color="auto" w:fill="auto"/>
            <w:vAlign w:val="bottom"/>
            <w:hideMark/>
          </w:tcPr>
          <w:p w14:paraId="5859AC6C"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Povećanje privlačnosti i obrazovnog kapaciteta Parka prirode Lonjsko polje izgradnjom posjetiteljskog centra Crna Roda Osekovo</w:t>
            </w:r>
          </w:p>
        </w:tc>
      </w:tr>
      <w:tr w:rsidR="000D78B7" w:rsidRPr="00DD1154" w14:paraId="1A4F2392" w14:textId="77777777" w:rsidTr="000D78B7">
        <w:trPr>
          <w:trHeight w:val="600"/>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2A503BD6"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MEDVEDNICA</w:t>
            </w:r>
          </w:p>
        </w:tc>
        <w:tc>
          <w:tcPr>
            <w:tcW w:w="6027" w:type="dxa"/>
            <w:tcBorders>
              <w:top w:val="nil"/>
              <w:left w:val="nil"/>
              <w:bottom w:val="single" w:sz="4" w:space="0" w:color="auto"/>
              <w:right w:val="single" w:sz="4" w:space="0" w:color="auto"/>
            </w:tcBorders>
            <w:shd w:val="clear" w:color="auto" w:fill="auto"/>
            <w:vAlign w:val="bottom"/>
            <w:hideMark/>
          </w:tcPr>
          <w:p w14:paraId="63143C03"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Poboljšanje posjetiteljskog kapaciteta u svrhu održivog upravljanja Parkom prirode Medvednica</w:t>
            </w:r>
          </w:p>
        </w:tc>
      </w:tr>
      <w:tr w:rsidR="000D78B7" w:rsidRPr="00DD1154" w14:paraId="2DB1250B" w14:textId="77777777" w:rsidTr="000D78B7">
        <w:trPr>
          <w:trHeight w:val="405"/>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691461C4"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lastRenderedPageBreak/>
              <w:t>JU PP PAPUK</w:t>
            </w:r>
          </w:p>
        </w:tc>
        <w:tc>
          <w:tcPr>
            <w:tcW w:w="6027" w:type="dxa"/>
            <w:tcBorders>
              <w:top w:val="nil"/>
              <w:left w:val="nil"/>
              <w:bottom w:val="single" w:sz="4" w:space="0" w:color="auto"/>
              <w:right w:val="single" w:sz="4" w:space="0" w:color="auto"/>
            </w:tcBorders>
            <w:shd w:val="clear" w:color="auto" w:fill="auto"/>
            <w:noWrap/>
            <w:vAlign w:val="bottom"/>
            <w:hideMark/>
          </w:tcPr>
          <w:p w14:paraId="4DF79237"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Geo priče UNESCO geoparka</w:t>
            </w:r>
          </w:p>
        </w:tc>
      </w:tr>
      <w:tr w:rsidR="000D78B7" w:rsidRPr="00DD1154" w14:paraId="62F66D6B" w14:textId="77777777" w:rsidTr="000D78B7">
        <w:trPr>
          <w:trHeight w:val="405"/>
        </w:trPr>
        <w:tc>
          <w:tcPr>
            <w:tcW w:w="2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6E165"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TELAŠĆICA</w:t>
            </w:r>
          </w:p>
        </w:tc>
        <w:tc>
          <w:tcPr>
            <w:tcW w:w="6027" w:type="dxa"/>
            <w:tcBorders>
              <w:top w:val="single" w:sz="4" w:space="0" w:color="auto"/>
              <w:left w:val="nil"/>
              <w:bottom w:val="single" w:sz="4" w:space="0" w:color="auto"/>
              <w:right w:val="single" w:sz="4" w:space="0" w:color="auto"/>
            </w:tcBorders>
            <w:shd w:val="clear" w:color="auto" w:fill="auto"/>
            <w:noWrap/>
            <w:vAlign w:val="bottom"/>
            <w:hideMark/>
          </w:tcPr>
          <w:p w14:paraId="5761EE0E"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Interpretacijsko edukacijski centar Grpašćak</w:t>
            </w:r>
          </w:p>
        </w:tc>
      </w:tr>
      <w:tr w:rsidR="000D78B7" w:rsidRPr="00DD1154" w14:paraId="24303C66" w14:textId="77777777" w:rsidTr="000D78B7">
        <w:trPr>
          <w:trHeight w:val="600"/>
        </w:trPr>
        <w:tc>
          <w:tcPr>
            <w:tcW w:w="2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09603"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VELEBIT</w:t>
            </w:r>
          </w:p>
        </w:tc>
        <w:tc>
          <w:tcPr>
            <w:tcW w:w="6027" w:type="dxa"/>
            <w:tcBorders>
              <w:top w:val="single" w:sz="4" w:space="0" w:color="auto"/>
              <w:left w:val="nil"/>
              <w:bottom w:val="single" w:sz="4" w:space="0" w:color="auto"/>
              <w:right w:val="single" w:sz="4" w:space="0" w:color="auto"/>
            </w:tcBorders>
            <w:shd w:val="clear" w:color="auto" w:fill="auto"/>
            <w:vAlign w:val="bottom"/>
            <w:hideMark/>
          </w:tcPr>
          <w:p w14:paraId="3717B966"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Centar izvrsnosti-održivo upravljanje prirodnom baštinom i krškim podzemljem</w:t>
            </w:r>
          </w:p>
        </w:tc>
      </w:tr>
      <w:tr w:rsidR="000D78B7" w:rsidRPr="00DD1154" w14:paraId="4321E0A8" w14:textId="77777777" w:rsidTr="000D78B7">
        <w:trPr>
          <w:trHeight w:val="405"/>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6989CD53"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VRANSKO JEZERO</w:t>
            </w:r>
          </w:p>
        </w:tc>
        <w:tc>
          <w:tcPr>
            <w:tcW w:w="6027" w:type="dxa"/>
            <w:tcBorders>
              <w:top w:val="nil"/>
              <w:left w:val="nil"/>
              <w:bottom w:val="single" w:sz="4" w:space="0" w:color="auto"/>
              <w:right w:val="single" w:sz="4" w:space="0" w:color="auto"/>
            </w:tcBorders>
            <w:shd w:val="clear" w:color="auto" w:fill="auto"/>
            <w:noWrap/>
            <w:vAlign w:val="bottom"/>
            <w:hideMark/>
          </w:tcPr>
          <w:p w14:paraId="6696D2CD"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Revitalizacija i povezivanje atrakcija Parka prirode Vransko jezero</w:t>
            </w:r>
          </w:p>
        </w:tc>
      </w:tr>
      <w:tr w:rsidR="000D78B7" w:rsidRPr="00DD1154" w14:paraId="2F2F34ED" w14:textId="77777777" w:rsidTr="000D78B7">
        <w:trPr>
          <w:trHeight w:val="405"/>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05B4733D"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VRANSKO JEZERO</w:t>
            </w:r>
          </w:p>
        </w:tc>
        <w:tc>
          <w:tcPr>
            <w:tcW w:w="6027" w:type="dxa"/>
            <w:tcBorders>
              <w:top w:val="nil"/>
              <w:left w:val="nil"/>
              <w:bottom w:val="single" w:sz="4" w:space="0" w:color="auto"/>
              <w:right w:val="single" w:sz="4" w:space="0" w:color="auto"/>
            </w:tcBorders>
            <w:shd w:val="clear" w:color="auto" w:fill="auto"/>
            <w:noWrap/>
            <w:vAlign w:val="bottom"/>
            <w:hideMark/>
          </w:tcPr>
          <w:p w14:paraId="76B59557"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Centar za održivi aktivni turizam BioSfera Biograd</w:t>
            </w:r>
          </w:p>
        </w:tc>
      </w:tr>
      <w:tr w:rsidR="000D78B7" w:rsidRPr="00DD1154" w14:paraId="31F2E8CD" w14:textId="77777777" w:rsidTr="000D78B7">
        <w:trPr>
          <w:trHeight w:val="405"/>
        </w:trPr>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410E2790"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UČKA</w:t>
            </w:r>
          </w:p>
        </w:tc>
        <w:tc>
          <w:tcPr>
            <w:tcW w:w="6027" w:type="dxa"/>
            <w:tcBorders>
              <w:top w:val="nil"/>
              <w:left w:val="nil"/>
              <w:bottom w:val="single" w:sz="4" w:space="0" w:color="auto"/>
              <w:right w:val="single" w:sz="4" w:space="0" w:color="auto"/>
            </w:tcBorders>
            <w:shd w:val="clear" w:color="auto" w:fill="auto"/>
            <w:noWrap/>
            <w:vAlign w:val="bottom"/>
            <w:hideMark/>
          </w:tcPr>
          <w:p w14:paraId="57109362"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Učka 360</w:t>
            </w:r>
          </w:p>
        </w:tc>
      </w:tr>
      <w:tr w:rsidR="000D78B7" w:rsidRPr="00DD1154" w14:paraId="447F4120" w14:textId="77777777" w:rsidTr="000D78B7">
        <w:trPr>
          <w:trHeight w:val="600"/>
        </w:trPr>
        <w:tc>
          <w:tcPr>
            <w:tcW w:w="2336" w:type="dxa"/>
            <w:tcBorders>
              <w:top w:val="nil"/>
              <w:left w:val="single" w:sz="4" w:space="0" w:color="auto"/>
              <w:bottom w:val="single" w:sz="4" w:space="0" w:color="auto"/>
              <w:right w:val="single" w:sz="4" w:space="0" w:color="auto"/>
            </w:tcBorders>
            <w:shd w:val="clear" w:color="auto" w:fill="auto"/>
            <w:vAlign w:val="bottom"/>
            <w:hideMark/>
          </w:tcPr>
          <w:p w14:paraId="4ED9BDEA"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JU PP ŽUMBERAK SAMOBORSKO GORJE</w:t>
            </w:r>
          </w:p>
        </w:tc>
        <w:tc>
          <w:tcPr>
            <w:tcW w:w="6027" w:type="dxa"/>
            <w:tcBorders>
              <w:top w:val="nil"/>
              <w:left w:val="nil"/>
              <w:bottom w:val="single" w:sz="4" w:space="0" w:color="auto"/>
              <w:right w:val="single" w:sz="4" w:space="0" w:color="auto"/>
            </w:tcBorders>
            <w:shd w:val="clear" w:color="auto" w:fill="auto"/>
            <w:noWrap/>
            <w:vAlign w:val="bottom"/>
            <w:hideMark/>
          </w:tcPr>
          <w:p w14:paraId="125791C1" w14:textId="77777777" w:rsidR="000D78B7" w:rsidRPr="00DD1154" w:rsidRDefault="000D78B7" w:rsidP="000D78B7">
            <w:pPr>
              <w:spacing w:after="0" w:line="240" w:lineRule="auto"/>
              <w:jc w:val="left"/>
              <w:rPr>
                <w:rFonts w:eastAsia="Times New Roman"/>
                <w:color w:val="000000"/>
                <w:sz w:val="22"/>
                <w:szCs w:val="22"/>
                <w:lang w:eastAsia="hr-HR"/>
              </w:rPr>
            </w:pPr>
            <w:r w:rsidRPr="00DD1154">
              <w:rPr>
                <w:rFonts w:eastAsia="Times New Roman"/>
                <w:color w:val="000000"/>
                <w:sz w:val="22"/>
                <w:szCs w:val="22"/>
                <w:lang w:eastAsia="hr-HR"/>
              </w:rPr>
              <w:t>Posjetiteljski centar Sošice</w:t>
            </w:r>
          </w:p>
        </w:tc>
      </w:tr>
    </w:tbl>
    <w:p w14:paraId="60F24250" w14:textId="77777777" w:rsidR="000D78B7" w:rsidRPr="00DD1154" w:rsidRDefault="000D78B7" w:rsidP="000D78B7">
      <w:pPr>
        <w:tabs>
          <w:tab w:val="left" w:pos="709"/>
        </w:tabs>
        <w:spacing w:after="0"/>
      </w:pPr>
    </w:p>
    <w:p w14:paraId="48E6E129" w14:textId="77777777" w:rsidR="000D78B7" w:rsidRPr="00DD1154" w:rsidRDefault="000D78B7" w:rsidP="000D78B7">
      <w:pPr>
        <w:tabs>
          <w:tab w:val="left" w:pos="709"/>
        </w:tabs>
        <w:spacing w:after="0"/>
        <w:rPr>
          <w:bCs/>
        </w:rPr>
      </w:pPr>
    </w:p>
    <w:p w14:paraId="5C58C386" w14:textId="77777777" w:rsidR="000D78B7" w:rsidRPr="00DD1154" w:rsidRDefault="000D78B7" w:rsidP="000D78B7">
      <w:pPr>
        <w:pStyle w:val="ListParagraph"/>
        <w:numPr>
          <w:ilvl w:val="0"/>
          <w:numId w:val="4"/>
        </w:numPr>
        <w:tabs>
          <w:tab w:val="left" w:pos="709"/>
        </w:tabs>
        <w:spacing w:after="0"/>
        <w:rPr>
          <w:bCs/>
        </w:rPr>
      </w:pPr>
      <w:r w:rsidRPr="00DD1154">
        <w:t xml:space="preserve">Specifični ciljevi OPKK 6iii1 i 6iii2 – provode se </w:t>
      </w:r>
      <w:r w:rsidRPr="00DD1154">
        <w:rPr>
          <w:b/>
          <w:bCs/>
        </w:rPr>
        <w:t>2 projekta</w:t>
      </w:r>
      <w:r w:rsidRPr="00DD1154">
        <w:t xml:space="preserve">: </w:t>
      </w:r>
    </w:p>
    <w:p w14:paraId="5451DF85" w14:textId="77777777" w:rsidR="000D78B7" w:rsidRPr="00DD1154" w:rsidRDefault="000D78B7" w:rsidP="000D78B7">
      <w:pPr>
        <w:spacing w:after="0" w:line="240" w:lineRule="auto"/>
        <w:ind w:left="709"/>
        <w:rPr>
          <w:bCs/>
        </w:rPr>
      </w:pPr>
      <w:r w:rsidRPr="00DD1154">
        <w:t xml:space="preserve">6iii1 - Uspostava nacionalnog sustava za praćenje invazivnih stranih vrsta </w:t>
      </w:r>
      <w:r w:rsidRPr="00DD1154">
        <w:rPr>
          <w:b/>
        </w:rPr>
        <w:t>-</w:t>
      </w:r>
      <w:r w:rsidRPr="00DD1154">
        <w:rPr>
          <w:bCs/>
        </w:rPr>
        <w:t>KK.06.5.1.01.0001</w:t>
      </w:r>
    </w:p>
    <w:p w14:paraId="63F8C41C" w14:textId="77777777" w:rsidR="000D78B7" w:rsidRPr="00DD1154" w:rsidRDefault="000D78B7" w:rsidP="000D78B7">
      <w:pPr>
        <w:pStyle w:val="ListParagraph"/>
        <w:spacing w:after="0" w:line="240" w:lineRule="auto"/>
        <w:rPr>
          <w:bCs/>
        </w:rPr>
      </w:pPr>
      <w:r w:rsidRPr="00DD1154">
        <w:rPr>
          <w:bCs/>
        </w:rPr>
        <w:t>6iii2 - Izrada prijedloga Planova upravljanja strogo zaštićenim vrstama (s akcijskim planovima) KK.06.5.2.01</w:t>
      </w:r>
    </w:p>
    <w:p w14:paraId="2C35EB23" w14:textId="03B77B08" w:rsidR="000D78B7" w:rsidRPr="00DD1154" w:rsidRDefault="000D78B7" w:rsidP="000D78B7">
      <w:pPr>
        <w:pStyle w:val="ListParagraph"/>
        <w:tabs>
          <w:tab w:val="left" w:pos="709"/>
        </w:tabs>
        <w:spacing w:after="0"/>
      </w:pPr>
      <w:r w:rsidRPr="00DD1154">
        <w:t xml:space="preserve">Projekte provodi MINGOR, a odnose se na postizanje ili održavanje povoljnog stanja očuvanosti strogo zaštićenih vrsta s akcijskim planovima očuvanja vrsta, te o povećanju znanja o stranim i invazivnim vrstama koje će stvoriti preduvjete za smanjenje njihovog štetnog učinka na bioraznolikost i povezane usluge ekosustava, zdravlja ljudi i gospodarstva. Fond je za ta dva projekta u 2019. godini isplatio sredstva u </w:t>
      </w:r>
      <w:r w:rsidR="00A93BB9" w:rsidRPr="00DD1154">
        <w:t xml:space="preserve">iznosu od 502.834,42 </w:t>
      </w:r>
      <w:r w:rsidR="006C04A7" w:rsidRPr="00DD1154">
        <w:t>kn</w:t>
      </w:r>
      <w:r w:rsidRPr="00DD1154">
        <w:t>, a u 2020. godini 1.024.048,43</w:t>
      </w:r>
      <w:r w:rsidR="00A93BB9" w:rsidRPr="00DD1154">
        <w:t xml:space="preserve"> </w:t>
      </w:r>
      <w:r w:rsidR="006C04A7" w:rsidRPr="00DD1154">
        <w:t>kn</w:t>
      </w:r>
      <w:r w:rsidR="00A93BB9" w:rsidRPr="00DD1154">
        <w:t xml:space="preserve">, odnosno ukupno </w:t>
      </w:r>
      <w:r w:rsidR="00A93BB9" w:rsidRPr="00DD1154">
        <w:rPr>
          <w:b/>
          <w:bCs/>
        </w:rPr>
        <w:t xml:space="preserve">1.526.882,85 </w:t>
      </w:r>
      <w:r w:rsidR="006C04A7" w:rsidRPr="00DD1154">
        <w:rPr>
          <w:b/>
          <w:bCs/>
        </w:rPr>
        <w:t>kn</w:t>
      </w:r>
      <w:r w:rsidRPr="00DD1154">
        <w:rPr>
          <w:b/>
          <w:bCs/>
        </w:rPr>
        <w:t>.</w:t>
      </w:r>
    </w:p>
    <w:p w14:paraId="5F25B58E" w14:textId="2D534497" w:rsidR="000D78B7" w:rsidRPr="00DD1154" w:rsidRDefault="000D78B7" w:rsidP="000D78B7">
      <w:pPr>
        <w:pStyle w:val="ListParagraph"/>
        <w:tabs>
          <w:tab w:val="left" w:pos="709"/>
        </w:tabs>
        <w:spacing w:after="0"/>
      </w:pPr>
      <w:r w:rsidRPr="00DD1154">
        <w:t>Sukladno Planu, u okviru prioritetne mjere ESIF, osim sufinanciranja nacionalne komponente projekata iz OPKK omogućeno je i sufinanciranje drugih prioritetnih mjera prilagodbe klimatskim promjenama, za što je Fond u 219.g. isplatio sredstva u iznosu od 61</w:t>
      </w:r>
      <w:r w:rsidR="00A93BB9" w:rsidRPr="00DD1154">
        <w:t xml:space="preserve">8.138,08 </w:t>
      </w:r>
      <w:r w:rsidR="006C04A7" w:rsidRPr="00DD1154">
        <w:t>kn</w:t>
      </w:r>
      <w:r w:rsidR="00607D61" w:rsidRPr="00DD1154">
        <w:t>,</w:t>
      </w:r>
      <w:r w:rsidRPr="00DD1154">
        <w:t xml:space="preserve"> u 2020. godini dodatnih </w:t>
      </w:r>
      <w:r w:rsidR="00D13667" w:rsidRPr="00DD1154">
        <w:t>1.103.953,00</w:t>
      </w:r>
      <w:r w:rsidR="00A93BB9" w:rsidRPr="00DD1154">
        <w:t xml:space="preserve"> </w:t>
      </w:r>
      <w:r w:rsidR="006C04A7" w:rsidRPr="00DD1154">
        <w:t>kn</w:t>
      </w:r>
      <w:r w:rsidRPr="00DD1154">
        <w:t xml:space="preserve">, </w:t>
      </w:r>
      <w:r w:rsidR="00607D61" w:rsidRPr="00DD1154">
        <w:t>što ukupno iznosi</w:t>
      </w:r>
      <w:r w:rsidRPr="00DD1154">
        <w:t xml:space="preserve"> </w:t>
      </w:r>
      <w:r w:rsidR="00A93BB9" w:rsidRPr="00DD1154">
        <w:rPr>
          <w:b/>
        </w:rPr>
        <w:t xml:space="preserve">1.722.091,08 </w:t>
      </w:r>
      <w:r w:rsidR="006C04A7" w:rsidRPr="00DD1154">
        <w:rPr>
          <w:b/>
        </w:rPr>
        <w:t>kn</w:t>
      </w:r>
      <w:r w:rsidR="00303551" w:rsidRPr="00DD1154">
        <w:rPr>
          <w:bCs/>
        </w:rPr>
        <w:t>,</w:t>
      </w:r>
      <w:r w:rsidRPr="00DD1154">
        <w:rPr>
          <w:color w:val="FF0000"/>
        </w:rPr>
        <w:t xml:space="preserve"> </w:t>
      </w:r>
      <w:r w:rsidR="00303551" w:rsidRPr="00DD1154">
        <w:t>koja</w:t>
      </w:r>
      <w:r w:rsidRPr="00DD1154">
        <w:t xml:space="preserve"> s</w:t>
      </w:r>
      <w:r w:rsidR="00303551" w:rsidRPr="00DD1154">
        <w:t xml:space="preserve">e odnose na sljedeća </w:t>
      </w:r>
      <w:r w:rsidR="00303551" w:rsidRPr="00DD1154">
        <w:rPr>
          <w:b/>
          <w:bCs/>
        </w:rPr>
        <w:t>3 projekta</w:t>
      </w:r>
      <w:r w:rsidR="00303551" w:rsidRPr="00DD1154">
        <w:t>:</w:t>
      </w:r>
    </w:p>
    <w:p w14:paraId="44B30052" w14:textId="264DBE05" w:rsidR="000D78B7" w:rsidRPr="00DD1154" w:rsidRDefault="000D78B7" w:rsidP="000D78B7">
      <w:pPr>
        <w:pStyle w:val="ListParagraph"/>
        <w:numPr>
          <w:ilvl w:val="0"/>
          <w:numId w:val="4"/>
        </w:numPr>
        <w:tabs>
          <w:tab w:val="left" w:pos="709"/>
        </w:tabs>
        <w:spacing w:after="0"/>
      </w:pPr>
      <w:r w:rsidRPr="00DD1154">
        <w:t>Modernizacija i uspostava održivosti sustavnog monitoringa selidbenih putova i demografije ptica u Hrvatskoj znanstvenim prstenovanjem, kojega provodi Hrvatska akademija znanosti i umjetnosti,</w:t>
      </w:r>
    </w:p>
    <w:p w14:paraId="22202DAC" w14:textId="77777777" w:rsidR="000D78B7" w:rsidRPr="00DD1154" w:rsidRDefault="000D78B7" w:rsidP="000D78B7">
      <w:pPr>
        <w:pStyle w:val="ListParagraph"/>
        <w:numPr>
          <w:ilvl w:val="0"/>
          <w:numId w:val="4"/>
        </w:numPr>
        <w:tabs>
          <w:tab w:val="left" w:pos="709"/>
        </w:tabs>
        <w:spacing w:after="0"/>
      </w:pPr>
      <w:r w:rsidRPr="00DD1154">
        <w:t>Povećanje učinkovitosti sustava zaštite prirode kroz uspostavu CroSpeleo baze podataka kao dijela informacijskog sustava zaštite prirode, kojega provodi MINGOR,</w:t>
      </w:r>
    </w:p>
    <w:p w14:paraId="182B75A2" w14:textId="77777777" w:rsidR="00303551" w:rsidRPr="00DD1154" w:rsidRDefault="000D78B7" w:rsidP="007270A2">
      <w:pPr>
        <w:pStyle w:val="ListParagraph"/>
        <w:numPr>
          <w:ilvl w:val="0"/>
          <w:numId w:val="4"/>
        </w:numPr>
        <w:tabs>
          <w:tab w:val="left" w:pos="709"/>
        </w:tabs>
        <w:spacing w:after="0"/>
      </w:pPr>
      <w:r w:rsidRPr="00DD1154">
        <w:t>Prilagodba klimatskim promjenama, korisnik Hrvatske ceste d.o.o.</w:t>
      </w:r>
      <w:r w:rsidR="00303551" w:rsidRPr="00DD1154">
        <w:t>, sanacija klizišta nastalog bujičnim padalinama.</w:t>
      </w:r>
    </w:p>
    <w:p w14:paraId="4E58D0A2" w14:textId="564C8657" w:rsidR="000D78B7" w:rsidRPr="00DD1154" w:rsidRDefault="000D78B7" w:rsidP="00303551">
      <w:pPr>
        <w:pStyle w:val="ListParagraph"/>
        <w:tabs>
          <w:tab w:val="left" w:pos="709"/>
        </w:tabs>
        <w:spacing w:after="0"/>
        <w:rPr>
          <w:highlight w:val="cyan"/>
        </w:rPr>
        <w:sectPr w:rsidR="000D78B7" w:rsidRPr="00DD1154" w:rsidSect="002F5505">
          <w:pgSz w:w="11906" w:h="16838"/>
          <w:pgMar w:top="1417" w:right="1417" w:bottom="1417" w:left="1417" w:header="708" w:footer="708" w:gutter="0"/>
          <w:cols w:space="708"/>
          <w:docGrid w:linePitch="360"/>
        </w:sectPr>
      </w:pPr>
      <w:r w:rsidRPr="00DD1154">
        <w:rPr>
          <w:highlight w:val="cyan"/>
        </w:rPr>
        <w:t xml:space="preserve"> </w:t>
      </w:r>
    </w:p>
    <w:p w14:paraId="0C2C08FA" w14:textId="225FDF9D" w:rsidR="00BB71CF" w:rsidRPr="00DD1154" w:rsidRDefault="00BB71CF" w:rsidP="00E413FF">
      <w:pPr>
        <w:pStyle w:val="Heading2"/>
        <w:ind w:left="567" w:hanging="567"/>
        <w:rPr>
          <w:rFonts w:ascii="Times New Roman" w:hAnsi="Times New Roman" w:cs="Times New Roman"/>
          <w:sz w:val="24"/>
          <w:szCs w:val="24"/>
        </w:rPr>
      </w:pPr>
      <w:bookmarkStart w:id="17" w:name="_Toc89261075"/>
      <w:r w:rsidRPr="00DD1154">
        <w:rPr>
          <w:rFonts w:ascii="Times New Roman" w:hAnsi="Times New Roman" w:cs="Times New Roman"/>
          <w:sz w:val="24"/>
          <w:szCs w:val="24"/>
        </w:rPr>
        <w:lastRenderedPageBreak/>
        <w:t>Istraživanje i razvoj te stručna podrška (IR)</w:t>
      </w:r>
      <w:bookmarkEnd w:id="17"/>
    </w:p>
    <w:p w14:paraId="3E4E9484" w14:textId="7A74DC53" w:rsidR="00075610" w:rsidRPr="00DD1154" w:rsidRDefault="00075610" w:rsidP="008D4D94">
      <w:pPr>
        <w:spacing w:before="120" w:after="60"/>
        <w:ind w:firstLine="567"/>
      </w:pPr>
      <w:r w:rsidRPr="00DD1154">
        <w:t>Za određene aktivnosti, odnosno mjere za koje se procijeni da mogu ispuniti kriterije znanstvenih i stručno utemeljenih istraživanja (temeljna, primijenjena i razvojna istraživanja) Planom je definirano da će se provoditi kroz pravnu i institucionalnu infrastrukturu područja znanosti i istraživanja. Stoga je Vlada Republike Hrvatske 5. studenoga 2015. godine donijela Program poticanja istraživačkih i razvojnih aktivnosti u području klimatskih promjena za razdoblje od 2015. do 2016. godine, kojim su stvorene pretpostavke za pružanje potpore istraživačkim i razvojnim aktivnostima u području klimatskih promjena, prvenstveno na</w:t>
      </w:r>
      <w:r w:rsidR="00C21305" w:rsidRPr="00DD1154">
        <w:t xml:space="preserve"> ublažavanju i prilagodbi istih</w:t>
      </w:r>
      <w:r w:rsidRPr="00DD1154">
        <w:t>.</w:t>
      </w:r>
    </w:p>
    <w:p w14:paraId="67A45382" w14:textId="475EE0AC" w:rsidR="00075610" w:rsidRPr="00DD1154" w:rsidRDefault="00075610" w:rsidP="008D4D94">
      <w:pPr>
        <w:spacing w:before="60" w:after="60"/>
        <w:ind w:firstLine="567"/>
      </w:pPr>
      <w:r w:rsidRPr="00DD1154">
        <w:t>Za ostale aktivnosti, odnosno mjere previđeno</w:t>
      </w:r>
      <w:r w:rsidR="00C21305" w:rsidRPr="00DD1154">
        <w:t xml:space="preserve"> je financiranje stručne podrške</w:t>
      </w:r>
      <w:r w:rsidRPr="00DD1154">
        <w:t xml:space="preserve"> (studije i istraživanja, analitičke podloge i sl.) kroz Fond kao provedbeno tijelo u skladu s propisima Fonda za dodjelu financijskih sredstava.</w:t>
      </w:r>
    </w:p>
    <w:p w14:paraId="63676AF0" w14:textId="3CF290CE" w:rsidR="00075610" w:rsidRPr="00DD1154" w:rsidRDefault="00075610" w:rsidP="008D4D94">
      <w:pPr>
        <w:spacing w:before="60" w:after="60"/>
        <w:ind w:firstLine="567"/>
        <w:rPr>
          <w:rFonts w:eastAsia="Times New Roman"/>
          <w:bCs/>
          <w:lang w:eastAsia="hr-HR"/>
        </w:rPr>
      </w:pPr>
      <w:r w:rsidRPr="00DD1154">
        <w:t xml:space="preserve">Sukladno prioritetnoj mjeri istraživanje i razvoj te stručna </w:t>
      </w:r>
      <w:r w:rsidR="00F80610" w:rsidRPr="00DD1154">
        <w:t xml:space="preserve">podrška iz Plana, Fond je u </w:t>
      </w:r>
      <w:r w:rsidR="0071474C" w:rsidRPr="00DD1154">
        <w:t xml:space="preserve">2019. i </w:t>
      </w:r>
      <w:r w:rsidR="00F80610" w:rsidRPr="00DD1154">
        <w:t>2020</w:t>
      </w:r>
      <w:r w:rsidRPr="00DD1154">
        <w:t xml:space="preserve">. godini za </w:t>
      </w:r>
      <w:r w:rsidRPr="00DD1154">
        <w:rPr>
          <w:lang w:eastAsia="hr-HR"/>
        </w:rPr>
        <w:t xml:space="preserve">financiranje </w:t>
      </w:r>
      <w:r w:rsidRPr="00DD1154">
        <w:t xml:space="preserve">projekata </w:t>
      </w:r>
      <w:r w:rsidRPr="00DD1154">
        <w:rPr>
          <w:b/>
        </w:rPr>
        <w:t>istraživanja i razvoja te stručne podrške</w:t>
      </w:r>
      <w:r w:rsidR="00E030DF" w:rsidRPr="00DD1154">
        <w:t xml:space="preserve"> isplatio sredstva u iznosu od</w:t>
      </w:r>
      <w:r w:rsidR="00184A76" w:rsidRPr="00DD1154">
        <w:rPr>
          <w:rFonts w:eastAsia="Times New Roman"/>
          <w:b/>
          <w:bCs/>
          <w:lang w:eastAsia="hr-HR"/>
        </w:rPr>
        <w:t xml:space="preserve"> </w:t>
      </w:r>
      <w:r w:rsidR="00F86B62" w:rsidRPr="00DD1154">
        <w:rPr>
          <w:rFonts w:eastAsia="Times New Roman"/>
          <w:b/>
          <w:lang w:eastAsia="hr-HR"/>
        </w:rPr>
        <w:t>7.893.499,56</w:t>
      </w:r>
      <w:r w:rsidR="00E030DF" w:rsidRPr="00DD1154">
        <w:rPr>
          <w:rFonts w:eastAsia="Times New Roman"/>
          <w:lang w:eastAsia="hr-HR"/>
        </w:rPr>
        <w:t xml:space="preserve"> </w:t>
      </w:r>
      <w:r w:rsidR="006C04A7" w:rsidRPr="00DD1154">
        <w:rPr>
          <w:rFonts w:eastAsia="Times New Roman"/>
          <w:b/>
          <w:bCs/>
          <w:lang w:eastAsia="hr-HR"/>
        </w:rPr>
        <w:t>kn</w:t>
      </w:r>
      <w:r w:rsidRPr="00DD1154">
        <w:rPr>
          <w:b/>
        </w:rPr>
        <w:t xml:space="preserve"> za ukupno </w:t>
      </w:r>
      <w:r w:rsidR="00803218" w:rsidRPr="00DD1154">
        <w:rPr>
          <w:b/>
        </w:rPr>
        <w:t xml:space="preserve">15 </w:t>
      </w:r>
      <w:r w:rsidR="00387A0E" w:rsidRPr="00DD1154">
        <w:rPr>
          <w:b/>
        </w:rPr>
        <w:t>projek</w:t>
      </w:r>
      <w:r w:rsidR="00F86B62" w:rsidRPr="00DD1154">
        <w:rPr>
          <w:b/>
        </w:rPr>
        <w:t>a</w:t>
      </w:r>
      <w:r w:rsidR="00387A0E" w:rsidRPr="00DD1154">
        <w:rPr>
          <w:b/>
        </w:rPr>
        <w:t>ta</w:t>
      </w:r>
      <w:r w:rsidRPr="00DD1154">
        <w:rPr>
          <w:b/>
        </w:rPr>
        <w:t xml:space="preserve"> istraživanja i razvoja te stručne podrške,</w:t>
      </w:r>
      <w:r w:rsidRPr="00DD1154">
        <w:t xml:space="preserve"> od čega:</w:t>
      </w:r>
    </w:p>
    <w:p w14:paraId="5B756B4D" w14:textId="54615F5B" w:rsidR="00FE1101" w:rsidRPr="00DD1154" w:rsidRDefault="00FE1101" w:rsidP="00FE1101">
      <w:pPr>
        <w:pStyle w:val="ListParagraph"/>
        <w:numPr>
          <w:ilvl w:val="0"/>
          <w:numId w:val="3"/>
        </w:numPr>
        <w:spacing w:after="0"/>
        <w:rPr>
          <w:b/>
          <w:bCs/>
          <w:strike/>
        </w:rPr>
      </w:pPr>
      <w:r w:rsidRPr="00DD1154">
        <w:t>projekt za potrebe izvješćivanja o emisijama/ponorima stakleničkih plinova u sektoru Korištenja zemljišta, promjena u korištenja zemljišta i šumarstvu (tzv LULUCF sektor),</w:t>
      </w:r>
      <w:r w:rsidRPr="00DD1154">
        <w:rPr>
          <w:iCs/>
        </w:rPr>
        <w:t xml:space="preserve"> sukladno međunarodnim obvezama Republike Hrvatske</w:t>
      </w:r>
      <w:r w:rsidR="00AB6C27" w:rsidRPr="00DD1154">
        <w:rPr>
          <w:iCs/>
        </w:rPr>
        <w:t xml:space="preserve"> (</w:t>
      </w:r>
      <w:r w:rsidR="00AB6C27" w:rsidRPr="00DD1154">
        <w:rPr>
          <w:b/>
          <w:bCs/>
          <w:iCs/>
        </w:rPr>
        <w:t>1 projekt</w:t>
      </w:r>
      <w:r w:rsidR="00AB6C27" w:rsidRPr="00DD1154">
        <w:rPr>
          <w:iCs/>
        </w:rPr>
        <w:t>)</w:t>
      </w:r>
      <w:r w:rsidRPr="00DD1154">
        <w:rPr>
          <w:iCs/>
        </w:rPr>
        <w:t xml:space="preserve">. Kao država članica EU, Republika Hrvatska je bila obvezna </w:t>
      </w:r>
      <w:r w:rsidRPr="00DD1154">
        <w:t xml:space="preserve">podnijeti Europskoj Komisiji nacionalne računske planove za šumarstvo, uključujući i predložene referentne razine za šume do 31. prosinca 2018. za razdoblje od 2021. do 2025., te je u tu svrhu financiran projekt </w:t>
      </w:r>
      <w:r w:rsidRPr="00DD1154">
        <w:rPr>
          <w:i/>
        </w:rPr>
        <w:t>Izrada Nacrta računskog plana za šumarstvo, uključujući i predloženu referentnu razinu za šume za razdoblje od 2021. do 2025.</w:t>
      </w:r>
      <w:r w:rsidRPr="00DD1154">
        <w:t xml:space="preserve"> godine za što je u 2019</w:t>
      </w:r>
      <w:r w:rsidR="00A93BB9" w:rsidRPr="00DD1154">
        <w:t xml:space="preserve">. godini </w:t>
      </w:r>
      <w:r w:rsidR="00552349" w:rsidRPr="00DD1154">
        <w:t xml:space="preserve">završno </w:t>
      </w:r>
      <w:r w:rsidR="00A93BB9" w:rsidRPr="00DD1154">
        <w:t xml:space="preserve">isplaćeno </w:t>
      </w:r>
      <w:r w:rsidR="00A93BB9" w:rsidRPr="00DD1154">
        <w:rPr>
          <w:b/>
          <w:bCs/>
        </w:rPr>
        <w:t xml:space="preserve">1.975.000 </w:t>
      </w:r>
      <w:r w:rsidR="006C04A7" w:rsidRPr="00DD1154">
        <w:rPr>
          <w:b/>
          <w:bCs/>
        </w:rPr>
        <w:t>kn</w:t>
      </w:r>
      <w:r w:rsidRPr="00DD1154">
        <w:rPr>
          <w:b/>
          <w:bCs/>
        </w:rPr>
        <w:t>,</w:t>
      </w:r>
    </w:p>
    <w:p w14:paraId="55596B7C" w14:textId="435DF152" w:rsidR="00FE1101" w:rsidRPr="00DD1154" w:rsidRDefault="00FE1101" w:rsidP="00FE1101">
      <w:pPr>
        <w:pStyle w:val="ListParagraph"/>
        <w:numPr>
          <w:ilvl w:val="0"/>
          <w:numId w:val="3"/>
        </w:numPr>
        <w:spacing w:after="0"/>
      </w:pPr>
      <w:r w:rsidRPr="00DD1154">
        <w:t>vezano na stručnu podršku</w:t>
      </w:r>
      <w:r w:rsidR="00F129B0" w:rsidRPr="00DD1154">
        <w:t xml:space="preserve">, </w:t>
      </w:r>
      <w:r w:rsidRPr="00DD1154">
        <w:t>sufinancira</w:t>
      </w:r>
      <w:r w:rsidR="00F129B0" w:rsidRPr="00DD1154">
        <w:t>n je</w:t>
      </w:r>
      <w:r w:rsidRPr="00DD1154">
        <w:t xml:space="preserve"> projekt „Edukacija i obavješćivanje građana o kvaliteti zraka u Slavonskom Brodu“</w:t>
      </w:r>
      <w:r w:rsidR="00552349" w:rsidRPr="00DD1154">
        <w:t xml:space="preserve"> (</w:t>
      </w:r>
      <w:r w:rsidR="00552349" w:rsidRPr="00DD1154">
        <w:rPr>
          <w:b/>
          <w:bCs/>
        </w:rPr>
        <w:t>1 projekt</w:t>
      </w:r>
      <w:r w:rsidR="00552349" w:rsidRPr="00DD1154">
        <w:t>)</w:t>
      </w:r>
      <w:r w:rsidRPr="00DD1154">
        <w:t xml:space="preserve"> kojega je provela Brodsko-posavska županija u suradnji s Gradom Slavonskim Brodom za što je </w:t>
      </w:r>
      <w:r w:rsidR="00A93BB9" w:rsidRPr="00DD1154">
        <w:t xml:space="preserve">u 2019. </w:t>
      </w:r>
      <w:r w:rsidR="00552349" w:rsidRPr="00DD1154">
        <w:t xml:space="preserve">završno </w:t>
      </w:r>
      <w:r w:rsidR="00A93BB9" w:rsidRPr="00DD1154">
        <w:t xml:space="preserve">isplaćeno </w:t>
      </w:r>
      <w:r w:rsidR="00A93BB9" w:rsidRPr="00DD1154">
        <w:rPr>
          <w:b/>
          <w:bCs/>
        </w:rPr>
        <w:t xml:space="preserve">244.574,84 </w:t>
      </w:r>
      <w:r w:rsidR="006C04A7" w:rsidRPr="00DD1154">
        <w:rPr>
          <w:b/>
          <w:bCs/>
        </w:rPr>
        <w:t>kn</w:t>
      </w:r>
      <w:r w:rsidRPr="00DD1154">
        <w:t>,</w:t>
      </w:r>
    </w:p>
    <w:p w14:paraId="1904D843" w14:textId="114ECE36" w:rsidR="00B72B2C" w:rsidRPr="00DD1154" w:rsidRDefault="00075610" w:rsidP="008D4D94">
      <w:pPr>
        <w:pStyle w:val="ListParagraph"/>
        <w:numPr>
          <w:ilvl w:val="0"/>
          <w:numId w:val="3"/>
        </w:numPr>
        <w:spacing w:after="0"/>
      </w:pPr>
      <w:r w:rsidRPr="00DD1154">
        <w:t>za produžetak financiranja Programa poticanja istraživačkih i razvojnih aktivnosti u području klimatskih promjena za raz</w:t>
      </w:r>
      <w:r w:rsidR="00631686" w:rsidRPr="00DD1154">
        <w:t>doblje od 2015. do 2016. godine. Naime,</w:t>
      </w:r>
      <w:r w:rsidR="00C21305" w:rsidRPr="00DD1154">
        <w:t xml:space="preserve"> </w:t>
      </w:r>
      <w:r w:rsidR="00631686" w:rsidRPr="00DD1154">
        <w:t xml:space="preserve">do konca 2019. godine realizirano je </w:t>
      </w:r>
      <w:r w:rsidR="00631686" w:rsidRPr="00DD1154">
        <w:rPr>
          <w:b/>
          <w:bCs/>
        </w:rPr>
        <w:t>10 projekata</w:t>
      </w:r>
      <w:r w:rsidR="00631686" w:rsidRPr="00DD1154">
        <w:t xml:space="preserve"> odabranih putem natječaja Hrvatske zaklade za znanost</w:t>
      </w:r>
      <w:r w:rsidR="00A93BB9" w:rsidRPr="00DD1154">
        <w:t xml:space="preserve"> u iznosu od 2.186.735,41 </w:t>
      </w:r>
      <w:r w:rsidR="006C04A7" w:rsidRPr="00DD1154">
        <w:t>kn</w:t>
      </w:r>
      <w:r w:rsidR="00631686" w:rsidRPr="00DD1154">
        <w:t xml:space="preserve">, </w:t>
      </w:r>
      <w:r w:rsidR="00FE1101" w:rsidRPr="00DD1154">
        <w:t>dok je</w:t>
      </w:r>
      <w:r w:rsidR="00631686" w:rsidRPr="00DD1154">
        <w:t xml:space="preserve"> za 1 projekt </w:t>
      </w:r>
      <w:r w:rsidR="00FE1101" w:rsidRPr="00DD1154">
        <w:t>početkom 2020. godine isplaćeno</w:t>
      </w:r>
      <w:r w:rsidRPr="00DD1154">
        <w:t xml:space="preserve"> </w:t>
      </w:r>
      <w:r w:rsidR="00803218" w:rsidRPr="00DD1154">
        <w:t xml:space="preserve">preostalih </w:t>
      </w:r>
      <w:r w:rsidR="00E030DF" w:rsidRPr="00DD1154">
        <w:t>159.719,14</w:t>
      </w:r>
      <w:r w:rsidR="00184A76" w:rsidRPr="00DD1154">
        <w:t xml:space="preserve"> </w:t>
      </w:r>
      <w:r w:rsidR="006C04A7" w:rsidRPr="00DD1154">
        <w:t>kn</w:t>
      </w:r>
      <w:r w:rsidR="00FE1101" w:rsidRPr="00DD1154">
        <w:t>,</w:t>
      </w:r>
      <w:r w:rsidRPr="00DD1154">
        <w:t xml:space="preserve"> </w:t>
      </w:r>
      <w:r w:rsidR="00803218" w:rsidRPr="00DD1154">
        <w:t xml:space="preserve">što ukupno iznosi </w:t>
      </w:r>
      <w:r w:rsidR="00A93BB9" w:rsidRPr="00DD1154">
        <w:rPr>
          <w:b/>
          <w:bCs/>
        </w:rPr>
        <w:t xml:space="preserve">2.346.454,55 </w:t>
      </w:r>
      <w:r w:rsidR="006C04A7" w:rsidRPr="00DD1154">
        <w:rPr>
          <w:b/>
          <w:bCs/>
        </w:rPr>
        <w:t>kn</w:t>
      </w:r>
      <w:r w:rsidR="00803218" w:rsidRPr="00DD1154">
        <w:t>.</w:t>
      </w:r>
    </w:p>
    <w:p w14:paraId="157CC4C4" w14:textId="4152D30A" w:rsidR="00E030DF" w:rsidRPr="00DD1154" w:rsidRDefault="00FE1101" w:rsidP="008D4D94">
      <w:pPr>
        <w:pStyle w:val="ListParagraph"/>
        <w:numPr>
          <w:ilvl w:val="0"/>
          <w:numId w:val="3"/>
        </w:numPr>
      </w:pPr>
      <w:r w:rsidRPr="00DD1154">
        <w:t>s</w:t>
      </w:r>
      <w:r w:rsidR="00FF27A7" w:rsidRPr="00DD1154">
        <w:t xml:space="preserve"> obzirom da je EU propisima definirano da će odlivi/emisije iz sektora LULUCF-a u periodu nakon 2020. godine biti uzimani u obzir za potrebe postizanja cilja EU o smanjenju emisija stakleničkih plinova za 55</w:t>
      </w:r>
      <w:r w:rsidR="00485B28" w:rsidRPr="00DD1154">
        <w:t xml:space="preserve"> </w:t>
      </w:r>
      <w:r w:rsidR="00FF27A7" w:rsidRPr="00DD1154">
        <w:t xml:space="preserve">% u odnosu na emisije iz tzv. bazne (1990) godine, RH je odlučila izraditi jedinstveni, višenamjenski informacijski sustav za zemljište. Sustav se izrađuje kroz posebno definiran projekt </w:t>
      </w:r>
      <w:r w:rsidR="00D93A48" w:rsidRPr="00DD1154">
        <w:t xml:space="preserve">CROLIS </w:t>
      </w:r>
      <w:r w:rsidR="00FF27A7" w:rsidRPr="00DD1154">
        <w:t xml:space="preserve">(eng. </w:t>
      </w:r>
      <w:r w:rsidR="00FF27A7" w:rsidRPr="00DD1154">
        <w:rPr>
          <w:i/>
        </w:rPr>
        <w:t>Cratian Land Information system</w:t>
      </w:r>
      <w:r w:rsidR="00FF27A7" w:rsidRPr="00DD1154">
        <w:t>)</w:t>
      </w:r>
      <w:r w:rsidR="00552349" w:rsidRPr="00DD1154">
        <w:t xml:space="preserve"> </w:t>
      </w:r>
      <w:r w:rsidR="00FF27A7" w:rsidRPr="00DD1154">
        <w:t xml:space="preserve">koji sufinancira Europska komisija kroz program LIFE. Fond na nacionalnoj razini sufinancira provedbu ovoga projekta u iznosu od 7,1 mil. </w:t>
      </w:r>
      <w:r w:rsidR="00730ABE" w:rsidRPr="00DD1154">
        <w:t>kn</w:t>
      </w:r>
      <w:r w:rsidR="00FF27A7" w:rsidRPr="00DD1154">
        <w:t>. Projekt se provod</w:t>
      </w:r>
      <w:r w:rsidR="00D93A48" w:rsidRPr="00DD1154">
        <w:t>i u periodu 01. listopada 2020.</w:t>
      </w:r>
      <w:r w:rsidR="00FF27A7" w:rsidRPr="00DD1154">
        <w:t xml:space="preserve"> – 30. travnja 2024. godine te ima za cilj omogućiti ispunjavanje obaveza RH u LULUCF sektoru u periodu nakon 2020. godine u izračunu odliva/emisija uz potrebu prostorno točno definiranih podataka u svakoj kategoriji zemljišta u sklopu LULUCF sektora, te bolje planiranje mjera za povećanje odliva i smanjenje emisija u ovome sektoru.</w:t>
      </w:r>
      <w:r w:rsidR="00E621FD" w:rsidRPr="00DD1154">
        <w:t xml:space="preserve"> Korisnik projekta je MINGOR, a u 2020. je isplaćeno </w:t>
      </w:r>
      <w:r w:rsidR="00E621FD" w:rsidRPr="00DD1154">
        <w:rPr>
          <w:b/>
          <w:bCs/>
        </w:rPr>
        <w:t xml:space="preserve">2.843.838,00 </w:t>
      </w:r>
      <w:r w:rsidR="00730ABE" w:rsidRPr="00DD1154">
        <w:rPr>
          <w:b/>
          <w:bCs/>
        </w:rPr>
        <w:t>kn</w:t>
      </w:r>
      <w:r w:rsidR="00E621FD" w:rsidRPr="00DD1154">
        <w:rPr>
          <w:bCs/>
        </w:rPr>
        <w:t>.</w:t>
      </w:r>
    </w:p>
    <w:p w14:paraId="45A3BF89" w14:textId="37EFEDAA" w:rsidR="00F5319A" w:rsidRPr="00DD1154" w:rsidRDefault="00C04F91" w:rsidP="008D4D94">
      <w:pPr>
        <w:pStyle w:val="ListParagraph"/>
        <w:numPr>
          <w:ilvl w:val="0"/>
          <w:numId w:val="3"/>
        </w:numPr>
        <w:spacing w:after="0"/>
        <w:rPr>
          <w:b/>
          <w:bCs/>
        </w:rPr>
      </w:pPr>
      <w:r w:rsidRPr="00DD1154">
        <w:lastRenderedPageBreak/>
        <w:t xml:space="preserve">za projekte </w:t>
      </w:r>
      <w:r w:rsidR="00D93A48" w:rsidRPr="00DD1154">
        <w:t xml:space="preserve">iz Programa </w:t>
      </w:r>
      <w:r w:rsidRPr="00DD1154">
        <w:t xml:space="preserve">LIFE </w:t>
      </w:r>
      <w:r w:rsidR="00D93A48" w:rsidRPr="00DD1154">
        <w:t>također se sufinancira</w:t>
      </w:r>
      <w:r w:rsidRPr="00DD1154">
        <w:t xml:space="preserve"> dio nacionalne komponente kroz </w:t>
      </w:r>
      <w:r w:rsidRPr="00DD1154">
        <w:rPr>
          <w:b/>
          <w:bCs/>
        </w:rPr>
        <w:t>2 projekta:</w:t>
      </w:r>
      <w:r w:rsidRPr="00DD1154">
        <w:t xml:space="preserve"> LIFE LYNX, gdje su aktivnosti projekta usmjerene na reintrodukciju risa na područje Dinarida, što za područje Hrvatske provode Veterinarski fakultet Sveučilišta u Zagrebu, Veleučilište u Karlovcu i udruga BIOM, kao pridruženi korisnici međudržavnog projekta. Drugi projekt LIFE ARTINA odnosi se na određivanje novih morskih NATURA 2000 područja za ptice, te suzbijanje prijetnji za 3 ugrožene vrste morskih ptica, čiji je glavni koordinator projekta udruga BIOM, te kao pridruženi članovi sudjeluju udruga Sunce, JUPP Lastovsko otočje i organizacija BirdLifeMalta. </w:t>
      </w:r>
      <w:r w:rsidR="00FE1101" w:rsidRPr="00DD1154">
        <w:t>U 2019</w:t>
      </w:r>
      <w:r w:rsidR="000C4562" w:rsidRPr="00DD1154">
        <w:t xml:space="preserve"> isplaćena su sredstva nacionalnog sufin</w:t>
      </w:r>
      <w:r w:rsidR="00A93BB9" w:rsidRPr="00DD1154">
        <w:t xml:space="preserve">anciranja u iznosu 180.215,49 </w:t>
      </w:r>
      <w:r w:rsidR="006C04A7" w:rsidRPr="00DD1154">
        <w:t>kn</w:t>
      </w:r>
      <w:r w:rsidR="000C4562" w:rsidRPr="00DD1154">
        <w:t>, u</w:t>
      </w:r>
      <w:r w:rsidR="00FE1101" w:rsidRPr="00DD1154">
        <w:t xml:space="preserve"> </w:t>
      </w:r>
      <w:r w:rsidR="00F5319A" w:rsidRPr="00DD1154">
        <w:t>2020.</w:t>
      </w:r>
      <w:r w:rsidR="00A93BB9" w:rsidRPr="00DD1154">
        <w:t xml:space="preserve"> iznos od 303.416,68 </w:t>
      </w:r>
      <w:r w:rsidR="006C04A7" w:rsidRPr="00DD1154">
        <w:t>kn</w:t>
      </w:r>
      <w:r w:rsidR="000C4562" w:rsidRPr="00DD1154">
        <w:t>, što ukupno iznosi</w:t>
      </w:r>
      <w:r w:rsidR="00F5319A" w:rsidRPr="00DD1154">
        <w:t xml:space="preserve"> </w:t>
      </w:r>
      <w:r w:rsidR="00A93BB9" w:rsidRPr="00DD1154">
        <w:rPr>
          <w:b/>
          <w:bCs/>
        </w:rPr>
        <w:t xml:space="preserve">483.632,17 </w:t>
      </w:r>
      <w:r w:rsidR="00730ABE" w:rsidRPr="00DD1154">
        <w:rPr>
          <w:b/>
          <w:bCs/>
        </w:rPr>
        <w:t>kn</w:t>
      </w:r>
      <w:r w:rsidR="00F5319A" w:rsidRPr="00DD1154">
        <w:rPr>
          <w:bCs/>
        </w:rPr>
        <w:t>.</w:t>
      </w:r>
    </w:p>
    <w:p w14:paraId="00155F15" w14:textId="7868426B" w:rsidR="00A6402E" w:rsidRPr="00DD1154" w:rsidRDefault="00A6402E" w:rsidP="008D4D94">
      <w:pPr>
        <w:spacing w:after="0"/>
        <w:rPr>
          <w:highlight w:val="yellow"/>
        </w:rPr>
      </w:pPr>
    </w:p>
    <w:p w14:paraId="3A650C73" w14:textId="6D0BEB21" w:rsidR="00027F8A" w:rsidRPr="00DD1154" w:rsidRDefault="00163790" w:rsidP="00E413FF">
      <w:pPr>
        <w:pStyle w:val="Heading2"/>
        <w:ind w:left="567" w:hanging="567"/>
        <w:rPr>
          <w:rFonts w:ascii="Times New Roman" w:hAnsi="Times New Roman" w:cs="Times New Roman"/>
          <w:sz w:val="24"/>
          <w:szCs w:val="24"/>
        </w:rPr>
      </w:pPr>
      <w:bookmarkStart w:id="18" w:name="_Toc89261076"/>
      <w:r w:rsidRPr="00DD1154">
        <w:rPr>
          <w:rFonts w:ascii="Times New Roman" w:hAnsi="Times New Roman" w:cs="Times New Roman"/>
          <w:sz w:val="24"/>
          <w:szCs w:val="24"/>
        </w:rPr>
        <w:t>Centri za gospodarenje otpadom (CGO)</w:t>
      </w:r>
      <w:bookmarkEnd w:id="18"/>
    </w:p>
    <w:p w14:paraId="7D484C04" w14:textId="77777777" w:rsidR="005617DB" w:rsidRPr="00DD1154" w:rsidRDefault="005617DB" w:rsidP="005617DB"/>
    <w:p w14:paraId="0C78C4A1" w14:textId="2FBEBA02" w:rsidR="00027F8A" w:rsidRPr="00DD1154" w:rsidRDefault="00027F8A" w:rsidP="00027F8A">
      <w:pPr>
        <w:rPr>
          <w:rFonts w:eastAsia="Times New Roman"/>
          <w:bCs/>
          <w:lang w:eastAsia="hr-HR"/>
        </w:rPr>
      </w:pPr>
      <w:r w:rsidRPr="00DD1154">
        <w:t xml:space="preserve">Mjera centri za gospodarenje otpadom odnosi se na aktivnosti sufinanciranja izrade </w:t>
      </w:r>
      <w:r w:rsidRPr="00DD1154">
        <w:rPr>
          <w:rFonts w:eastAsia="Times New Roman"/>
          <w:lang w:eastAsia="hr-HR"/>
        </w:rPr>
        <w:t>projektno-tehničke dokumentacije za uspostavu cjelovitog sustava gospodarenja otpadom te aktivnosti sufinanciranja provedbe, odnosno izgradnje centara za gospodarenje otpadom. U 2019. godini financirana su 7 projekta, i to 4 projekta sufinanciran</w:t>
      </w:r>
      <w:r w:rsidR="00F05EA1" w:rsidRPr="00DD1154">
        <w:rPr>
          <w:rFonts w:eastAsia="Times New Roman"/>
          <w:lang w:eastAsia="hr-HR"/>
        </w:rPr>
        <w:t>je</w:t>
      </w:r>
      <w:r w:rsidRPr="00DD1154">
        <w:rPr>
          <w:rFonts w:eastAsia="Times New Roman"/>
          <w:lang w:eastAsia="hr-HR"/>
        </w:rPr>
        <w:t xml:space="preserve"> dokumentacij</w:t>
      </w:r>
      <w:r w:rsidR="00F05EA1" w:rsidRPr="00DD1154">
        <w:rPr>
          <w:rFonts w:eastAsia="Times New Roman"/>
          <w:lang w:eastAsia="hr-HR"/>
        </w:rPr>
        <w:t>e</w:t>
      </w:r>
      <w:r w:rsidRPr="00DD1154">
        <w:rPr>
          <w:rFonts w:eastAsia="Times New Roman"/>
          <w:lang w:eastAsia="hr-HR"/>
        </w:rPr>
        <w:t xml:space="preserve"> (Babina Gora, Lučino Razdolje, Piškornica i Zagreb) te 3 projekta ko</w:t>
      </w:r>
      <w:r w:rsidR="00F05EA1" w:rsidRPr="00DD1154">
        <w:rPr>
          <w:rFonts w:eastAsia="Times New Roman"/>
          <w:lang w:eastAsia="hr-HR"/>
        </w:rPr>
        <w:t>ja se odnose na</w:t>
      </w:r>
      <w:r w:rsidRPr="00DD1154">
        <w:rPr>
          <w:rFonts w:eastAsia="Times New Roman"/>
          <w:lang w:eastAsia="hr-HR"/>
        </w:rPr>
        <w:t xml:space="preserve"> sufinanciran</w:t>
      </w:r>
      <w:r w:rsidR="00F05EA1" w:rsidRPr="00DD1154">
        <w:rPr>
          <w:rFonts w:eastAsia="Times New Roman"/>
          <w:lang w:eastAsia="hr-HR"/>
        </w:rPr>
        <w:t>je</w:t>
      </w:r>
      <w:r w:rsidRPr="00DD1154">
        <w:rPr>
          <w:rFonts w:eastAsia="Times New Roman"/>
          <w:lang w:eastAsia="hr-HR"/>
        </w:rPr>
        <w:t xml:space="preserve"> provedb</w:t>
      </w:r>
      <w:r w:rsidR="00F05EA1" w:rsidRPr="00DD1154">
        <w:rPr>
          <w:rFonts w:eastAsia="Times New Roman"/>
          <w:lang w:eastAsia="hr-HR"/>
        </w:rPr>
        <w:t>e</w:t>
      </w:r>
      <w:r w:rsidRPr="00DD1154">
        <w:rPr>
          <w:rFonts w:eastAsia="Times New Roman"/>
          <w:lang w:eastAsia="hr-HR"/>
        </w:rPr>
        <w:t xml:space="preserve"> (Bikarac, Biljane Donje i Kaštijun</w:t>
      </w:r>
      <w:r w:rsidR="00F05EA1" w:rsidRPr="00DD1154">
        <w:rPr>
          <w:rFonts w:eastAsia="Times New Roman"/>
          <w:lang w:eastAsia="hr-HR"/>
        </w:rPr>
        <w:t>)</w:t>
      </w:r>
      <w:r w:rsidRPr="00DD1154">
        <w:rPr>
          <w:rFonts w:eastAsia="Times New Roman"/>
          <w:lang w:eastAsia="hr-HR"/>
        </w:rPr>
        <w:t xml:space="preserve">, te je utrošeno </w:t>
      </w:r>
      <w:r w:rsidR="005617DB" w:rsidRPr="00DD1154">
        <w:rPr>
          <w:rFonts w:eastAsia="Times New Roman"/>
          <w:bCs/>
          <w:lang w:eastAsia="hr-HR"/>
        </w:rPr>
        <w:t xml:space="preserve">10.057.397 </w:t>
      </w:r>
      <w:r w:rsidR="00730ABE" w:rsidRPr="00DD1154">
        <w:rPr>
          <w:rFonts w:eastAsia="Times New Roman"/>
          <w:bCs/>
          <w:lang w:eastAsia="hr-HR"/>
        </w:rPr>
        <w:t>kn.</w:t>
      </w:r>
      <w:r w:rsidRPr="00DD1154">
        <w:rPr>
          <w:rFonts w:eastAsia="Times New Roman"/>
          <w:lang w:eastAsia="hr-HR"/>
        </w:rPr>
        <w:t xml:space="preserve"> U 2020. godini </w:t>
      </w:r>
      <w:r w:rsidRPr="00DD1154">
        <w:rPr>
          <w:rFonts w:eastAsia="Times New Roman"/>
          <w:bCs/>
          <w:lang w:eastAsia="hr-HR"/>
        </w:rPr>
        <w:t xml:space="preserve">za 10 projekata isplaćeno je </w:t>
      </w:r>
      <w:r w:rsidR="00D748B6" w:rsidRPr="00DD1154">
        <w:rPr>
          <w:rFonts w:eastAsia="Times New Roman"/>
          <w:bCs/>
          <w:lang w:eastAsia="hr-HR"/>
        </w:rPr>
        <w:t xml:space="preserve">17.294.618,67 </w:t>
      </w:r>
      <w:r w:rsidR="00730ABE" w:rsidRPr="00DD1154">
        <w:rPr>
          <w:rFonts w:eastAsia="Times New Roman"/>
          <w:bCs/>
          <w:lang w:eastAsia="hr-HR"/>
        </w:rPr>
        <w:t>kn</w:t>
      </w:r>
      <w:r w:rsidRPr="00DD1154">
        <w:rPr>
          <w:rFonts w:eastAsia="Times New Roman"/>
          <w:bCs/>
          <w:lang w:eastAsia="hr-HR"/>
        </w:rPr>
        <w:t>,</w:t>
      </w:r>
      <w:r w:rsidRPr="00DD1154">
        <w:rPr>
          <w:rFonts w:eastAsia="Times New Roman"/>
          <w:b/>
          <w:lang w:eastAsia="hr-HR"/>
        </w:rPr>
        <w:t xml:space="preserve"> </w:t>
      </w:r>
      <w:r w:rsidRPr="00DD1154">
        <w:rPr>
          <w:rFonts w:eastAsia="Times New Roman"/>
          <w:bCs/>
          <w:lang w:eastAsia="hr-HR"/>
        </w:rPr>
        <w:t xml:space="preserve">i to za 4 projekta sufinanciranja dokumentacije (Piškornica, Šagulje, Orlovnjak, Zagreb) te 6 projekata sufinanciranja provedbe odnosno izgradnje (Bikarac, Biljane Donje, Babina Gora, Lećevica, Lučino Razdolje, Kaštijun). </w:t>
      </w:r>
    </w:p>
    <w:p w14:paraId="101C1514" w14:textId="42F2A3D0" w:rsidR="00027F8A" w:rsidRPr="00DD1154" w:rsidRDefault="00027F8A" w:rsidP="00027F8A">
      <w:pPr>
        <w:rPr>
          <w:rFonts w:eastAsia="Times New Roman"/>
          <w:bCs/>
          <w:lang w:eastAsia="hr-HR"/>
        </w:rPr>
      </w:pPr>
      <w:r w:rsidRPr="00DD1154">
        <w:rPr>
          <w:rFonts w:eastAsia="Times New Roman"/>
          <w:bCs/>
          <w:lang w:eastAsia="hr-HR"/>
        </w:rPr>
        <w:t xml:space="preserve">Zaključno, u ove dvije godine sufinancirana su </w:t>
      </w:r>
      <w:r w:rsidRPr="00DD1154">
        <w:rPr>
          <w:rFonts w:eastAsia="Times New Roman"/>
          <w:b/>
          <w:lang w:eastAsia="hr-HR"/>
        </w:rPr>
        <w:t>13 projekta</w:t>
      </w:r>
      <w:r w:rsidRPr="00DD1154">
        <w:rPr>
          <w:rFonts w:eastAsia="Times New Roman"/>
          <w:bCs/>
          <w:lang w:eastAsia="hr-HR"/>
        </w:rPr>
        <w:t xml:space="preserve"> i to: 6 projekata pripreme dokumentacije </w:t>
      </w:r>
      <w:r w:rsidRPr="00DD1154">
        <w:rPr>
          <w:rFonts w:eastAsia="Times New Roman"/>
          <w:lang w:eastAsia="hr-HR"/>
        </w:rPr>
        <w:t>(Babina Gora, Lučino Razdolje, Piškornica,</w:t>
      </w:r>
      <w:r w:rsidRPr="00DD1154">
        <w:rPr>
          <w:rFonts w:eastAsia="Times New Roman"/>
          <w:bCs/>
          <w:lang w:eastAsia="hr-HR"/>
        </w:rPr>
        <w:t xml:space="preserve"> Šagulje, Orlovnjak</w:t>
      </w:r>
      <w:r w:rsidRPr="00DD1154">
        <w:rPr>
          <w:rFonts w:eastAsia="Times New Roman"/>
          <w:lang w:eastAsia="hr-HR"/>
        </w:rPr>
        <w:t xml:space="preserve"> i Zagreb) i 7 projekata sufinanciranja provedbe odnosno izgradnje </w:t>
      </w:r>
      <w:r w:rsidRPr="00DD1154">
        <w:rPr>
          <w:rFonts w:eastAsia="Times New Roman"/>
          <w:bCs/>
          <w:lang w:eastAsia="hr-HR"/>
        </w:rPr>
        <w:t>(Biljane Donje, Babina Gora, Lećevica, Lučino Razdolje, Kaštijun, te Bikarac izgradnja Centra i izgradnja nasipa plohe 1)</w:t>
      </w:r>
      <w:r w:rsidR="0038652C" w:rsidRPr="00DD1154">
        <w:rPr>
          <w:rFonts w:eastAsia="Times New Roman"/>
          <w:bCs/>
          <w:lang w:eastAsia="hr-HR"/>
        </w:rPr>
        <w:t xml:space="preserve"> za što je isplaćeno </w:t>
      </w:r>
      <w:r w:rsidR="0038652C" w:rsidRPr="00DD1154">
        <w:rPr>
          <w:rFonts w:eastAsia="Times New Roman"/>
          <w:b/>
          <w:lang w:eastAsia="hr-HR"/>
        </w:rPr>
        <w:t>27.352.015,</w:t>
      </w:r>
      <w:r w:rsidR="00A34AF9" w:rsidRPr="00DD1154">
        <w:rPr>
          <w:rFonts w:eastAsia="Times New Roman"/>
          <w:b/>
          <w:lang w:eastAsia="hr-HR"/>
        </w:rPr>
        <w:t>6</w:t>
      </w:r>
      <w:r w:rsidR="00A34AF9">
        <w:rPr>
          <w:rFonts w:eastAsia="Times New Roman"/>
          <w:b/>
          <w:lang w:eastAsia="hr-HR"/>
        </w:rPr>
        <w:t>4</w:t>
      </w:r>
      <w:r w:rsidR="00A34AF9" w:rsidRPr="00DD1154">
        <w:rPr>
          <w:rFonts w:eastAsia="Times New Roman"/>
          <w:b/>
          <w:lang w:eastAsia="hr-HR"/>
        </w:rPr>
        <w:t xml:space="preserve"> </w:t>
      </w:r>
      <w:r w:rsidR="00730ABE" w:rsidRPr="00DD1154">
        <w:rPr>
          <w:rFonts w:eastAsia="Times New Roman"/>
          <w:b/>
          <w:lang w:eastAsia="hr-HR"/>
        </w:rPr>
        <w:t>kn</w:t>
      </w:r>
      <w:r w:rsidR="00730ABE" w:rsidRPr="00DD1154">
        <w:rPr>
          <w:rFonts w:eastAsia="Times New Roman"/>
          <w:lang w:eastAsia="hr-HR"/>
        </w:rPr>
        <w:t>.</w:t>
      </w:r>
      <w:r w:rsidR="00FC0AEC" w:rsidRPr="00DD1154">
        <w:rPr>
          <w:rFonts w:eastAsia="Times New Roman"/>
          <w:b/>
          <w:lang w:eastAsia="hr-HR"/>
        </w:rPr>
        <w:t xml:space="preserve"> </w:t>
      </w:r>
      <w:r w:rsidR="00FC0AEC" w:rsidRPr="00DD1154">
        <w:rPr>
          <w:rFonts w:eastAsia="Times New Roman"/>
          <w:bCs/>
          <w:lang w:eastAsia="hr-HR"/>
        </w:rPr>
        <w:t>Iako se radi o istim centrima za gospodarenje otpadom izrada projektne dokumentacije i sama gradnja se provodi putem različitih ugovora koji se onda vode kao zasebni projekti.</w:t>
      </w:r>
    </w:p>
    <w:p w14:paraId="6BCCE95B" w14:textId="22A04F7C" w:rsidR="001938E7" w:rsidRPr="00DD1154" w:rsidRDefault="00FC0AEC" w:rsidP="001938E7">
      <w:pPr>
        <w:rPr>
          <w:rFonts w:eastAsia="Times New Roman"/>
          <w:b/>
          <w:lang w:eastAsia="hr-HR"/>
        </w:rPr>
      </w:pPr>
      <w:r w:rsidRPr="00DD1154">
        <w:rPr>
          <w:rFonts w:eastAsia="Times New Roman"/>
          <w:b/>
          <w:lang w:eastAsia="hr-HR"/>
        </w:rPr>
        <w:t xml:space="preserve">Tablica 2.3.: </w:t>
      </w:r>
      <w:r w:rsidR="001938E7" w:rsidRPr="00DD1154">
        <w:rPr>
          <w:rFonts w:eastAsia="Times New Roman"/>
          <w:b/>
          <w:lang w:eastAsia="hr-HR"/>
        </w:rPr>
        <w:t xml:space="preserve">Pregled </w:t>
      </w:r>
      <w:r w:rsidRPr="00DD1154">
        <w:rPr>
          <w:rFonts w:eastAsia="Times New Roman"/>
          <w:b/>
          <w:lang w:eastAsia="hr-HR"/>
        </w:rPr>
        <w:t>projekata CGO</w:t>
      </w:r>
    </w:p>
    <w:tbl>
      <w:tblPr>
        <w:tblpPr w:leftFromText="180" w:rightFromText="180" w:vertAnchor="text" w:tblpXSpec="center" w:tblpY="1"/>
        <w:tblOverlap w:val="never"/>
        <w:tblW w:w="9209" w:type="dxa"/>
        <w:tblLayout w:type="fixed"/>
        <w:tblLook w:val="04A0" w:firstRow="1" w:lastRow="0" w:firstColumn="1" w:lastColumn="0" w:noHBand="0" w:noVBand="1"/>
      </w:tblPr>
      <w:tblGrid>
        <w:gridCol w:w="704"/>
        <w:gridCol w:w="1487"/>
        <w:gridCol w:w="2482"/>
        <w:gridCol w:w="1559"/>
        <w:gridCol w:w="1560"/>
        <w:gridCol w:w="1417"/>
      </w:tblGrid>
      <w:tr w:rsidR="001938E7" w:rsidRPr="00DD1154" w14:paraId="254B40D0" w14:textId="77777777" w:rsidTr="00730ABE">
        <w:trPr>
          <w:trHeight w:val="885"/>
        </w:trPr>
        <w:tc>
          <w:tcPr>
            <w:tcW w:w="704" w:type="dxa"/>
            <w:tcBorders>
              <w:top w:val="single" w:sz="4" w:space="0" w:color="auto"/>
              <w:left w:val="single" w:sz="4" w:space="0" w:color="auto"/>
              <w:bottom w:val="single" w:sz="4" w:space="0" w:color="auto"/>
              <w:right w:val="single" w:sz="4" w:space="0" w:color="auto"/>
            </w:tcBorders>
            <w:shd w:val="clear" w:color="CCCCFF" w:fill="FFF2CC"/>
            <w:textDirection w:val="btLr"/>
            <w:vAlign w:val="center"/>
            <w:hideMark/>
          </w:tcPr>
          <w:p w14:paraId="2F2143EB"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R.b. projekta</w:t>
            </w:r>
          </w:p>
        </w:tc>
        <w:tc>
          <w:tcPr>
            <w:tcW w:w="1487" w:type="dxa"/>
            <w:tcBorders>
              <w:top w:val="single" w:sz="4" w:space="0" w:color="auto"/>
              <w:left w:val="nil"/>
              <w:bottom w:val="single" w:sz="4" w:space="0" w:color="auto"/>
              <w:right w:val="single" w:sz="4" w:space="0" w:color="auto"/>
            </w:tcBorders>
            <w:shd w:val="clear" w:color="CCCCFF" w:fill="FFF2CC"/>
            <w:vAlign w:val="center"/>
            <w:hideMark/>
          </w:tcPr>
          <w:p w14:paraId="2A374B97"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CGO</w:t>
            </w:r>
          </w:p>
        </w:tc>
        <w:tc>
          <w:tcPr>
            <w:tcW w:w="2482" w:type="dxa"/>
            <w:tcBorders>
              <w:top w:val="single" w:sz="4" w:space="0" w:color="auto"/>
              <w:left w:val="nil"/>
              <w:bottom w:val="single" w:sz="4" w:space="0" w:color="auto"/>
              <w:right w:val="single" w:sz="4" w:space="0" w:color="auto"/>
            </w:tcBorders>
            <w:shd w:val="clear" w:color="CCCCFF" w:fill="FFF2CC"/>
            <w:vAlign w:val="center"/>
            <w:hideMark/>
          </w:tcPr>
          <w:p w14:paraId="265BA2B2"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Projekt</w:t>
            </w:r>
          </w:p>
        </w:tc>
        <w:tc>
          <w:tcPr>
            <w:tcW w:w="1559" w:type="dxa"/>
            <w:tcBorders>
              <w:top w:val="single" w:sz="4" w:space="0" w:color="auto"/>
              <w:left w:val="nil"/>
              <w:bottom w:val="single" w:sz="4" w:space="0" w:color="auto"/>
              <w:right w:val="single" w:sz="4" w:space="0" w:color="auto"/>
            </w:tcBorders>
            <w:shd w:val="clear" w:color="CCCCFF" w:fill="FFF2CC"/>
            <w:vAlign w:val="center"/>
            <w:hideMark/>
          </w:tcPr>
          <w:p w14:paraId="247D3B0A"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Isplaćeno Fond 2019</w:t>
            </w:r>
          </w:p>
        </w:tc>
        <w:tc>
          <w:tcPr>
            <w:tcW w:w="1560" w:type="dxa"/>
            <w:tcBorders>
              <w:top w:val="single" w:sz="4" w:space="0" w:color="auto"/>
              <w:left w:val="nil"/>
              <w:bottom w:val="single" w:sz="4" w:space="0" w:color="auto"/>
              <w:right w:val="single" w:sz="4" w:space="0" w:color="auto"/>
            </w:tcBorders>
            <w:shd w:val="clear" w:color="CCCCFF" w:fill="FFF2CC"/>
            <w:vAlign w:val="center"/>
          </w:tcPr>
          <w:p w14:paraId="734EC732"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Isplaćeno Fond 2020</w:t>
            </w:r>
          </w:p>
        </w:tc>
        <w:tc>
          <w:tcPr>
            <w:tcW w:w="1417" w:type="dxa"/>
            <w:tcBorders>
              <w:top w:val="single" w:sz="4" w:space="0" w:color="auto"/>
              <w:left w:val="single" w:sz="4" w:space="0" w:color="auto"/>
              <w:bottom w:val="single" w:sz="4" w:space="0" w:color="auto"/>
              <w:right w:val="single" w:sz="4" w:space="0" w:color="auto"/>
            </w:tcBorders>
            <w:shd w:val="clear" w:color="CCCCFF" w:fill="FFF2CC"/>
            <w:vAlign w:val="center"/>
            <w:hideMark/>
          </w:tcPr>
          <w:p w14:paraId="303CBDD4" w14:textId="382E0E92" w:rsidR="001938E7" w:rsidRPr="00DD1154" w:rsidRDefault="00E413FF"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P</w:t>
            </w:r>
            <w:r w:rsidR="001938E7" w:rsidRPr="00DD1154">
              <w:rPr>
                <w:rFonts w:eastAsia="Times New Roman"/>
                <w:b/>
                <w:bCs/>
                <w:sz w:val="20"/>
                <w:szCs w:val="20"/>
                <w:lang w:eastAsia="hr-HR"/>
              </w:rPr>
              <w:t>reostala obveza</w:t>
            </w:r>
          </w:p>
        </w:tc>
      </w:tr>
      <w:tr w:rsidR="001938E7" w:rsidRPr="00DD1154" w14:paraId="091FBD8D" w14:textId="77777777" w:rsidTr="00730ABE">
        <w:trPr>
          <w:trHeight w:val="300"/>
        </w:trPr>
        <w:tc>
          <w:tcPr>
            <w:tcW w:w="4673" w:type="dxa"/>
            <w:gridSpan w:val="3"/>
            <w:tcBorders>
              <w:top w:val="single" w:sz="4" w:space="0" w:color="auto"/>
              <w:left w:val="single" w:sz="4" w:space="0" w:color="auto"/>
              <w:bottom w:val="single" w:sz="4" w:space="0" w:color="auto"/>
              <w:right w:val="single" w:sz="4" w:space="0" w:color="000000"/>
            </w:tcBorders>
            <w:shd w:val="clear" w:color="CCCCFF" w:fill="FFC000"/>
            <w:vAlign w:val="center"/>
            <w:hideMark/>
          </w:tcPr>
          <w:p w14:paraId="53023A63"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CGO - PRIPREMA DOKUMENTACIJE ZA EU FINANCIRANJE</w:t>
            </w:r>
          </w:p>
        </w:tc>
        <w:tc>
          <w:tcPr>
            <w:tcW w:w="1559" w:type="dxa"/>
            <w:tcBorders>
              <w:top w:val="nil"/>
              <w:left w:val="nil"/>
              <w:bottom w:val="single" w:sz="4" w:space="0" w:color="auto"/>
              <w:right w:val="single" w:sz="4" w:space="0" w:color="auto"/>
            </w:tcBorders>
            <w:shd w:val="clear" w:color="CCCCFF" w:fill="FFC000"/>
            <w:vAlign w:val="center"/>
            <w:hideMark/>
          </w:tcPr>
          <w:p w14:paraId="1786C51A"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 </w:t>
            </w:r>
          </w:p>
        </w:tc>
        <w:tc>
          <w:tcPr>
            <w:tcW w:w="1560" w:type="dxa"/>
            <w:tcBorders>
              <w:top w:val="single" w:sz="4" w:space="0" w:color="auto"/>
              <w:left w:val="nil"/>
              <w:bottom w:val="single" w:sz="4" w:space="0" w:color="auto"/>
              <w:right w:val="single" w:sz="4" w:space="0" w:color="auto"/>
            </w:tcBorders>
            <w:shd w:val="clear" w:color="CCCCFF" w:fill="FFC000"/>
            <w:vAlign w:val="center"/>
          </w:tcPr>
          <w:p w14:paraId="284447D2" w14:textId="77777777" w:rsidR="001938E7" w:rsidRPr="00DD1154" w:rsidRDefault="001938E7" w:rsidP="007270A2">
            <w:pPr>
              <w:spacing w:after="0" w:line="240" w:lineRule="auto"/>
              <w:jc w:val="center"/>
              <w:rPr>
                <w:rFonts w:eastAsia="Times New Roman"/>
                <w:b/>
                <w:bCs/>
                <w:sz w:val="20"/>
                <w:szCs w:val="20"/>
                <w:lang w:eastAsia="hr-HR"/>
              </w:rPr>
            </w:pPr>
          </w:p>
        </w:tc>
        <w:tc>
          <w:tcPr>
            <w:tcW w:w="1417" w:type="dxa"/>
            <w:tcBorders>
              <w:top w:val="nil"/>
              <w:left w:val="single" w:sz="4" w:space="0" w:color="auto"/>
              <w:bottom w:val="single" w:sz="4" w:space="0" w:color="auto"/>
              <w:right w:val="single" w:sz="4" w:space="0" w:color="auto"/>
            </w:tcBorders>
            <w:shd w:val="clear" w:color="CCCCFF" w:fill="FFC000"/>
            <w:vAlign w:val="center"/>
            <w:hideMark/>
          </w:tcPr>
          <w:p w14:paraId="5E8400CE"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 </w:t>
            </w:r>
          </w:p>
        </w:tc>
      </w:tr>
      <w:tr w:rsidR="001938E7" w:rsidRPr="00DD1154" w14:paraId="7E029EBF"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B76E1E"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w:t>
            </w:r>
          </w:p>
        </w:tc>
        <w:tc>
          <w:tcPr>
            <w:tcW w:w="1487" w:type="dxa"/>
            <w:tcBorders>
              <w:top w:val="nil"/>
              <w:left w:val="nil"/>
              <w:bottom w:val="nil"/>
              <w:right w:val="nil"/>
            </w:tcBorders>
            <w:shd w:val="clear" w:color="auto" w:fill="auto"/>
            <w:vAlign w:val="center"/>
            <w:hideMark/>
          </w:tcPr>
          <w:p w14:paraId="1508289A"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BABINA GORA</w:t>
            </w:r>
          </w:p>
        </w:tc>
        <w:tc>
          <w:tcPr>
            <w:tcW w:w="2482" w:type="dxa"/>
            <w:tcBorders>
              <w:top w:val="nil"/>
              <w:left w:val="single" w:sz="4" w:space="0" w:color="auto"/>
              <w:bottom w:val="single" w:sz="4" w:space="0" w:color="auto"/>
              <w:right w:val="single" w:sz="4" w:space="0" w:color="auto"/>
            </w:tcBorders>
            <w:shd w:val="clear" w:color="auto" w:fill="auto"/>
            <w:vAlign w:val="center"/>
            <w:hideMark/>
          </w:tcPr>
          <w:p w14:paraId="750A5C2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Izrada projektno-tehničke dokumentacije</w:t>
            </w:r>
          </w:p>
        </w:tc>
        <w:tc>
          <w:tcPr>
            <w:tcW w:w="1559" w:type="dxa"/>
            <w:tcBorders>
              <w:top w:val="nil"/>
              <w:left w:val="nil"/>
              <w:bottom w:val="single" w:sz="4" w:space="0" w:color="auto"/>
              <w:right w:val="single" w:sz="4" w:space="0" w:color="auto"/>
            </w:tcBorders>
            <w:shd w:val="clear" w:color="auto" w:fill="auto"/>
            <w:vAlign w:val="center"/>
            <w:hideMark/>
          </w:tcPr>
          <w:p w14:paraId="297E5DEC"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213.750,00</w:t>
            </w:r>
          </w:p>
        </w:tc>
        <w:tc>
          <w:tcPr>
            <w:tcW w:w="1560" w:type="dxa"/>
            <w:tcBorders>
              <w:top w:val="single" w:sz="4" w:space="0" w:color="auto"/>
              <w:left w:val="nil"/>
              <w:bottom w:val="single" w:sz="4" w:space="0" w:color="auto"/>
              <w:right w:val="single" w:sz="4" w:space="0" w:color="auto"/>
            </w:tcBorders>
            <w:vAlign w:val="center"/>
          </w:tcPr>
          <w:p w14:paraId="6FE5F615"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417" w:type="dxa"/>
            <w:tcBorders>
              <w:top w:val="nil"/>
              <w:left w:val="single" w:sz="4" w:space="0" w:color="auto"/>
              <w:bottom w:val="single" w:sz="4" w:space="0" w:color="auto"/>
              <w:right w:val="single" w:sz="4" w:space="0" w:color="auto"/>
            </w:tcBorders>
            <w:shd w:val="clear" w:color="auto" w:fill="auto"/>
            <w:vAlign w:val="center"/>
          </w:tcPr>
          <w:p w14:paraId="641E6B2E"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112.500,00</w:t>
            </w:r>
          </w:p>
        </w:tc>
      </w:tr>
      <w:tr w:rsidR="001938E7" w:rsidRPr="00DD1154" w14:paraId="1F7F0DD8"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90F9D3"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2.</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65CCF7FB"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PIŠKORNICA</w:t>
            </w:r>
          </w:p>
        </w:tc>
        <w:tc>
          <w:tcPr>
            <w:tcW w:w="2482" w:type="dxa"/>
            <w:tcBorders>
              <w:top w:val="nil"/>
              <w:left w:val="nil"/>
              <w:bottom w:val="single" w:sz="4" w:space="0" w:color="auto"/>
              <w:right w:val="single" w:sz="4" w:space="0" w:color="auto"/>
            </w:tcBorders>
            <w:shd w:val="clear" w:color="auto" w:fill="auto"/>
            <w:vAlign w:val="center"/>
            <w:hideMark/>
          </w:tcPr>
          <w:p w14:paraId="03523A5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Izrada projektno-tehničke dokumentacije</w:t>
            </w:r>
          </w:p>
        </w:tc>
        <w:tc>
          <w:tcPr>
            <w:tcW w:w="1559" w:type="dxa"/>
            <w:tcBorders>
              <w:top w:val="nil"/>
              <w:left w:val="nil"/>
              <w:bottom w:val="single" w:sz="4" w:space="0" w:color="auto"/>
              <w:right w:val="single" w:sz="4" w:space="0" w:color="auto"/>
            </w:tcBorders>
            <w:shd w:val="clear" w:color="auto" w:fill="auto"/>
            <w:vAlign w:val="center"/>
            <w:hideMark/>
          </w:tcPr>
          <w:p w14:paraId="0494F380"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540.000,00</w:t>
            </w:r>
          </w:p>
        </w:tc>
        <w:tc>
          <w:tcPr>
            <w:tcW w:w="1560" w:type="dxa"/>
            <w:tcBorders>
              <w:top w:val="single" w:sz="4" w:space="0" w:color="auto"/>
              <w:left w:val="nil"/>
              <w:bottom w:val="single" w:sz="4" w:space="0" w:color="auto"/>
              <w:right w:val="single" w:sz="4" w:space="0" w:color="auto"/>
            </w:tcBorders>
            <w:vAlign w:val="center"/>
          </w:tcPr>
          <w:p w14:paraId="614E2B73"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145.000,00</w:t>
            </w:r>
          </w:p>
        </w:tc>
        <w:tc>
          <w:tcPr>
            <w:tcW w:w="1417" w:type="dxa"/>
            <w:tcBorders>
              <w:top w:val="nil"/>
              <w:left w:val="single" w:sz="4" w:space="0" w:color="auto"/>
              <w:bottom w:val="single" w:sz="4" w:space="0" w:color="auto"/>
              <w:right w:val="single" w:sz="4" w:space="0" w:color="auto"/>
            </w:tcBorders>
            <w:shd w:val="clear" w:color="auto" w:fill="auto"/>
            <w:vAlign w:val="center"/>
          </w:tcPr>
          <w:p w14:paraId="0EE5C339"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r>
      <w:tr w:rsidR="001938E7" w:rsidRPr="00DD1154" w14:paraId="096638E0"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42CA6B"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3.</w:t>
            </w:r>
          </w:p>
        </w:tc>
        <w:tc>
          <w:tcPr>
            <w:tcW w:w="1487" w:type="dxa"/>
            <w:tcBorders>
              <w:top w:val="nil"/>
              <w:left w:val="nil"/>
              <w:bottom w:val="single" w:sz="4" w:space="0" w:color="auto"/>
              <w:right w:val="single" w:sz="4" w:space="0" w:color="auto"/>
            </w:tcBorders>
            <w:shd w:val="clear" w:color="auto" w:fill="auto"/>
            <w:vAlign w:val="center"/>
            <w:hideMark/>
          </w:tcPr>
          <w:p w14:paraId="655C587D"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LUČINO RAZDOLJE</w:t>
            </w:r>
          </w:p>
        </w:tc>
        <w:tc>
          <w:tcPr>
            <w:tcW w:w="2482" w:type="dxa"/>
            <w:tcBorders>
              <w:top w:val="nil"/>
              <w:left w:val="nil"/>
              <w:bottom w:val="single" w:sz="4" w:space="0" w:color="auto"/>
              <w:right w:val="single" w:sz="4" w:space="0" w:color="auto"/>
            </w:tcBorders>
            <w:shd w:val="clear" w:color="auto" w:fill="auto"/>
            <w:vAlign w:val="center"/>
            <w:hideMark/>
          </w:tcPr>
          <w:p w14:paraId="22BBA9A6"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Izrada projektno-tehničke dokumentacije</w:t>
            </w:r>
          </w:p>
        </w:tc>
        <w:tc>
          <w:tcPr>
            <w:tcW w:w="1559" w:type="dxa"/>
            <w:tcBorders>
              <w:top w:val="nil"/>
              <w:left w:val="nil"/>
              <w:bottom w:val="single" w:sz="4" w:space="0" w:color="auto"/>
              <w:right w:val="single" w:sz="4" w:space="0" w:color="auto"/>
            </w:tcBorders>
            <w:shd w:val="clear" w:color="auto" w:fill="auto"/>
            <w:vAlign w:val="center"/>
            <w:hideMark/>
          </w:tcPr>
          <w:p w14:paraId="146810E9"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245.000,00</w:t>
            </w:r>
          </w:p>
        </w:tc>
        <w:tc>
          <w:tcPr>
            <w:tcW w:w="1560" w:type="dxa"/>
            <w:tcBorders>
              <w:top w:val="single" w:sz="4" w:space="0" w:color="auto"/>
              <w:left w:val="nil"/>
              <w:bottom w:val="single" w:sz="4" w:space="0" w:color="auto"/>
              <w:right w:val="single" w:sz="4" w:space="0" w:color="auto"/>
            </w:tcBorders>
            <w:vAlign w:val="center"/>
          </w:tcPr>
          <w:p w14:paraId="775D78AF"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417" w:type="dxa"/>
            <w:tcBorders>
              <w:top w:val="nil"/>
              <w:left w:val="single" w:sz="4" w:space="0" w:color="auto"/>
              <w:bottom w:val="single" w:sz="4" w:space="0" w:color="auto"/>
              <w:right w:val="single" w:sz="4" w:space="0" w:color="auto"/>
            </w:tcBorders>
            <w:shd w:val="clear" w:color="auto" w:fill="auto"/>
            <w:vAlign w:val="center"/>
          </w:tcPr>
          <w:p w14:paraId="57EBBAB3"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r>
      <w:tr w:rsidR="001938E7" w:rsidRPr="00DD1154" w14:paraId="34D98D83"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A0A6AB"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4.</w:t>
            </w:r>
          </w:p>
        </w:tc>
        <w:tc>
          <w:tcPr>
            <w:tcW w:w="1487" w:type="dxa"/>
            <w:tcBorders>
              <w:top w:val="nil"/>
              <w:left w:val="nil"/>
              <w:bottom w:val="single" w:sz="4" w:space="0" w:color="auto"/>
              <w:right w:val="single" w:sz="4" w:space="0" w:color="auto"/>
            </w:tcBorders>
            <w:shd w:val="clear" w:color="auto" w:fill="auto"/>
            <w:vAlign w:val="center"/>
            <w:hideMark/>
          </w:tcPr>
          <w:p w14:paraId="7B26B7EC"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ŠAGULJE</w:t>
            </w:r>
          </w:p>
        </w:tc>
        <w:tc>
          <w:tcPr>
            <w:tcW w:w="2482" w:type="dxa"/>
            <w:tcBorders>
              <w:top w:val="nil"/>
              <w:left w:val="nil"/>
              <w:bottom w:val="single" w:sz="4" w:space="0" w:color="auto"/>
              <w:right w:val="single" w:sz="4" w:space="0" w:color="auto"/>
            </w:tcBorders>
            <w:shd w:val="clear" w:color="auto" w:fill="auto"/>
            <w:vAlign w:val="center"/>
            <w:hideMark/>
          </w:tcPr>
          <w:p w14:paraId="176AD5B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Izrada projektno-tehničke dokumentacije</w:t>
            </w:r>
          </w:p>
        </w:tc>
        <w:tc>
          <w:tcPr>
            <w:tcW w:w="1559" w:type="dxa"/>
            <w:tcBorders>
              <w:top w:val="nil"/>
              <w:left w:val="nil"/>
              <w:bottom w:val="single" w:sz="4" w:space="0" w:color="auto"/>
              <w:right w:val="single" w:sz="4" w:space="0" w:color="auto"/>
            </w:tcBorders>
            <w:shd w:val="clear" w:color="auto" w:fill="auto"/>
            <w:vAlign w:val="center"/>
            <w:hideMark/>
          </w:tcPr>
          <w:p w14:paraId="7895A66B"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201E4804"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72.200,00</w:t>
            </w:r>
          </w:p>
        </w:tc>
        <w:tc>
          <w:tcPr>
            <w:tcW w:w="1417" w:type="dxa"/>
            <w:tcBorders>
              <w:top w:val="nil"/>
              <w:left w:val="single" w:sz="4" w:space="0" w:color="auto"/>
              <w:bottom w:val="single" w:sz="4" w:space="0" w:color="auto"/>
              <w:right w:val="single" w:sz="4" w:space="0" w:color="auto"/>
            </w:tcBorders>
            <w:shd w:val="clear" w:color="auto" w:fill="auto"/>
            <w:vAlign w:val="center"/>
          </w:tcPr>
          <w:p w14:paraId="44BD7FB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742.000,00 </w:t>
            </w:r>
          </w:p>
        </w:tc>
      </w:tr>
      <w:tr w:rsidR="001938E7" w:rsidRPr="00DD1154" w14:paraId="30D960FE"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16A200"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5.</w:t>
            </w:r>
          </w:p>
        </w:tc>
        <w:tc>
          <w:tcPr>
            <w:tcW w:w="1487" w:type="dxa"/>
            <w:tcBorders>
              <w:top w:val="nil"/>
              <w:left w:val="nil"/>
              <w:bottom w:val="single" w:sz="4" w:space="0" w:color="auto"/>
              <w:right w:val="single" w:sz="4" w:space="0" w:color="auto"/>
            </w:tcBorders>
            <w:shd w:val="clear" w:color="auto" w:fill="auto"/>
            <w:vAlign w:val="center"/>
            <w:hideMark/>
          </w:tcPr>
          <w:p w14:paraId="14519173"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ORLOVNJAK</w:t>
            </w:r>
          </w:p>
        </w:tc>
        <w:tc>
          <w:tcPr>
            <w:tcW w:w="2482" w:type="dxa"/>
            <w:tcBorders>
              <w:top w:val="nil"/>
              <w:left w:val="nil"/>
              <w:bottom w:val="single" w:sz="4" w:space="0" w:color="auto"/>
              <w:right w:val="single" w:sz="4" w:space="0" w:color="auto"/>
            </w:tcBorders>
            <w:shd w:val="clear" w:color="auto" w:fill="auto"/>
            <w:vAlign w:val="center"/>
            <w:hideMark/>
          </w:tcPr>
          <w:p w14:paraId="1845AC24"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Izrada projektno-tehničke dokumentacije</w:t>
            </w:r>
          </w:p>
        </w:tc>
        <w:tc>
          <w:tcPr>
            <w:tcW w:w="1559" w:type="dxa"/>
            <w:tcBorders>
              <w:top w:val="nil"/>
              <w:left w:val="nil"/>
              <w:bottom w:val="single" w:sz="4" w:space="0" w:color="auto"/>
              <w:right w:val="single" w:sz="4" w:space="0" w:color="auto"/>
            </w:tcBorders>
            <w:shd w:val="clear" w:color="auto" w:fill="auto"/>
            <w:vAlign w:val="center"/>
            <w:hideMark/>
          </w:tcPr>
          <w:p w14:paraId="43E99FDE"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74A6E9BA"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193.455,00</w:t>
            </w:r>
          </w:p>
        </w:tc>
        <w:tc>
          <w:tcPr>
            <w:tcW w:w="1417" w:type="dxa"/>
            <w:tcBorders>
              <w:top w:val="nil"/>
              <w:left w:val="single" w:sz="4" w:space="0" w:color="auto"/>
              <w:bottom w:val="single" w:sz="4" w:space="0" w:color="auto"/>
              <w:right w:val="single" w:sz="4" w:space="0" w:color="auto"/>
            </w:tcBorders>
            <w:shd w:val="clear" w:color="auto" w:fill="auto"/>
            <w:vAlign w:val="center"/>
          </w:tcPr>
          <w:p w14:paraId="42617BDB"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2.250.000,00 </w:t>
            </w:r>
          </w:p>
        </w:tc>
      </w:tr>
      <w:tr w:rsidR="001938E7" w:rsidRPr="00DD1154" w14:paraId="5D6280A3"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6AC159"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lastRenderedPageBreak/>
              <w:t>6.</w:t>
            </w:r>
          </w:p>
        </w:tc>
        <w:tc>
          <w:tcPr>
            <w:tcW w:w="1487" w:type="dxa"/>
            <w:tcBorders>
              <w:top w:val="nil"/>
              <w:left w:val="nil"/>
              <w:bottom w:val="single" w:sz="4" w:space="0" w:color="auto"/>
              <w:right w:val="single" w:sz="4" w:space="0" w:color="auto"/>
            </w:tcBorders>
            <w:shd w:val="clear" w:color="auto" w:fill="auto"/>
            <w:vAlign w:val="center"/>
            <w:hideMark/>
          </w:tcPr>
          <w:p w14:paraId="00883B5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ZAGREB</w:t>
            </w:r>
          </w:p>
        </w:tc>
        <w:tc>
          <w:tcPr>
            <w:tcW w:w="2482" w:type="dxa"/>
            <w:tcBorders>
              <w:top w:val="nil"/>
              <w:left w:val="nil"/>
              <w:bottom w:val="single" w:sz="4" w:space="0" w:color="auto"/>
              <w:right w:val="single" w:sz="4" w:space="0" w:color="auto"/>
            </w:tcBorders>
            <w:shd w:val="clear" w:color="auto" w:fill="auto"/>
            <w:vAlign w:val="center"/>
            <w:hideMark/>
          </w:tcPr>
          <w:p w14:paraId="05594171"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Izrada projektno-tehničke dokumentacije</w:t>
            </w:r>
          </w:p>
        </w:tc>
        <w:tc>
          <w:tcPr>
            <w:tcW w:w="1559" w:type="dxa"/>
            <w:tcBorders>
              <w:top w:val="nil"/>
              <w:left w:val="nil"/>
              <w:bottom w:val="single" w:sz="4" w:space="0" w:color="auto"/>
              <w:right w:val="single" w:sz="4" w:space="0" w:color="auto"/>
            </w:tcBorders>
            <w:shd w:val="clear" w:color="auto" w:fill="auto"/>
            <w:vAlign w:val="center"/>
            <w:hideMark/>
          </w:tcPr>
          <w:p w14:paraId="4C302E72"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6F7298B2"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124.413,53</w:t>
            </w:r>
          </w:p>
        </w:tc>
        <w:tc>
          <w:tcPr>
            <w:tcW w:w="1417" w:type="dxa"/>
            <w:tcBorders>
              <w:top w:val="nil"/>
              <w:left w:val="single" w:sz="4" w:space="0" w:color="auto"/>
              <w:bottom w:val="single" w:sz="4" w:space="0" w:color="auto"/>
              <w:right w:val="single" w:sz="4" w:space="0" w:color="auto"/>
            </w:tcBorders>
            <w:shd w:val="clear" w:color="auto" w:fill="auto"/>
            <w:vAlign w:val="center"/>
          </w:tcPr>
          <w:p w14:paraId="1A58D7FB"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1.364.466,09 </w:t>
            </w:r>
          </w:p>
        </w:tc>
      </w:tr>
      <w:tr w:rsidR="001938E7" w:rsidRPr="00DD1154" w14:paraId="5E40EA43" w14:textId="77777777" w:rsidTr="00730ABE">
        <w:trPr>
          <w:trHeight w:val="300"/>
        </w:trPr>
        <w:tc>
          <w:tcPr>
            <w:tcW w:w="4673" w:type="dxa"/>
            <w:gridSpan w:val="3"/>
            <w:tcBorders>
              <w:top w:val="single" w:sz="4" w:space="0" w:color="auto"/>
              <w:left w:val="single" w:sz="4" w:space="0" w:color="auto"/>
              <w:bottom w:val="single" w:sz="4" w:space="0" w:color="auto"/>
              <w:right w:val="single" w:sz="4" w:space="0" w:color="000000"/>
            </w:tcBorders>
            <w:shd w:val="clear" w:color="CCCCFF" w:fill="FFC000"/>
            <w:vAlign w:val="center"/>
            <w:hideMark/>
          </w:tcPr>
          <w:p w14:paraId="26EDDFDB"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CGO - SUFINANCIRANJE PROVEDBE (IZGRADNJE) CGO</w:t>
            </w:r>
          </w:p>
        </w:tc>
        <w:tc>
          <w:tcPr>
            <w:tcW w:w="1559" w:type="dxa"/>
            <w:tcBorders>
              <w:top w:val="nil"/>
              <w:left w:val="nil"/>
              <w:bottom w:val="single" w:sz="4" w:space="0" w:color="auto"/>
              <w:right w:val="single" w:sz="4" w:space="0" w:color="auto"/>
            </w:tcBorders>
            <w:shd w:val="clear" w:color="000000" w:fill="FFC000"/>
            <w:vAlign w:val="center"/>
            <w:hideMark/>
          </w:tcPr>
          <w:p w14:paraId="0EB1AAF4"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w:t>
            </w:r>
          </w:p>
        </w:tc>
        <w:tc>
          <w:tcPr>
            <w:tcW w:w="1560" w:type="dxa"/>
            <w:tcBorders>
              <w:top w:val="single" w:sz="4" w:space="0" w:color="auto"/>
              <w:left w:val="nil"/>
              <w:bottom w:val="single" w:sz="4" w:space="0" w:color="auto"/>
              <w:right w:val="single" w:sz="4" w:space="0" w:color="auto"/>
            </w:tcBorders>
            <w:shd w:val="clear" w:color="000000" w:fill="FFC000"/>
            <w:vAlign w:val="center"/>
          </w:tcPr>
          <w:p w14:paraId="50F816AD" w14:textId="77777777" w:rsidR="001938E7" w:rsidRPr="00DD1154" w:rsidRDefault="001938E7" w:rsidP="007270A2">
            <w:pPr>
              <w:spacing w:after="0" w:line="240" w:lineRule="auto"/>
              <w:jc w:val="center"/>
              <w:rPr>
                <w:rFonts w:eastAsia="Times New Roman"/>
                <w:sz w:val="20"/>
                <w:szCs w:val="20"/>
                <w:lang w:eastAsia="hr-HR"/>
              </w:rPr>
            </w:pPr>
          </w:p>
        </w:tc>
        <w:tc>
          <w:tcPr>
            <w:tcW w:w="1417" w:type="dxa"/>
            <w:tcBorders>
              <w:top w:val="nil"/>
              <w:left w:val="single" w:sz="4" w:space="0" w:color="auto"/>
              <w:bottom w:val="single" w:sz="4" w:space="0" w:color="auto"/>
              <w:right w:val="single" w:sz="4" w:space="0" w:color="auto"/>
            </w:tcBorders>
            <w:shd w:val="clear" w:color="000000" w:fill="FFC000"/>
            <w:vAlign w:val="center"/>
          </w:tcPr>
          <w:p w14:paraId="588AC1FD" w14:textId="77777777" w:rsidR="001938E7" w:rsidRPr="00DD1154" w:rsidRDefault="001938E7" w:rsidP="007270A2">
            <w:pPr>
              <w:spacing w:after="0" w:line="240" w:lineRule="auto"/>
              <w:jc w:val="center"/>
              <w:rPr>
                <w:rFonts w:eastAsia="Times New Roman"/>
                <w:sz w:val="20"/>
                <w:szCs w:val="20"/>
                <w:lang w:eastAsia="hr-HR"/>
              </w:rPr>
            </w:pPr>
          </w:p>
        </w:tc>
      </w:tr>
      <w:tr w:rsidR="001938E7" w:rsidRPr="00DD1154" w14:paraId="77678642"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6806FF"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7.</w:t>
            </w:r>
          </w:p>
        </w:tc>
        <w:tc>
          <w:tcPr>
            <w:tcW w:w="1487" w:type="dxa"/>
            <w:tcBorders>
              <w:top w:val="nil"/>
              <w:left w:val="nil"/>
              <w:bottom w:val="nil"/>
              <w:right w:val="nil"/>
            </w:tcBorders>
            <w:shd w:val="clear" w:color="auto" w:fill="auto"/>
            <w:vAlign w:val="center"/>
            <w:hideMark/>
          </w:tcPr>
          <w:p w14:paraId="60E14BBD"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BABINA GORA</w:t>
            </w:r>
          </w:p>
        </w:tc>
        <w:tc>
          <w:tcPr>
            <w:tcW w:w="2482" w:type="dxa"/>
            <w:tcBorders>
              <w:top w:val="nil"/>
              <w:left w:val="single" w:sz="4" w:space="0" w:color="auto"/>
              <w:bottom w:val="single" w:sz="4" w:space="0" w:color="auto"/>
              <w:right w:val="single" w:sz="4" w:space="0" w:color="auto"/>
            </w:tcBorders>
            <w:shd w:val="clear" w:color="auto" w:fill="auto"/>
            <w:vAlign w:val="center"/>
            <w:hideMark/>
          </w:tcPr>
          <w:p w14:paraId="3E23691A"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Sufinanciranje EU projekta </w:t>
            </w:r>
          </w:p>
        </w:tc>
        <w:tc>
          <w:tcPr>
            <w:tcW w:w="1559" w:type="dxa"/>
            <w:tcBorders>
              <w:top w:val="nil"/>
              <w:left w:val="nil"/>
              <w:bottom w:val="single" w:sz="4" w:space="0" w:color="auto"/>
              <w:right w:val="single" w:sz="4" w:space="0" w:color="auto"/>
            </w:tcBorders>
            <w:shd w:val="clear" w:color="auto" w:fill="auto"/>
            <w:vAlign w:val="center"/>
            <w:hideMark/>
          </w:tcPr>
          <w:p w14:paraId="6F83E34F"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31B437E0"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447.654,06</w:t>
            </w:r>
          </w:p>
        </w:tc>
        <w:tc>
          <w:tcPr>
            <w:tcW w:w="1417" w:type="dxa"/>
            <w:tcBorders>
              <w:top w:val="nil"/>
              <w:left w:val="single" w:sz="4" w:space="0" w:color="auto"/>
              <w:bottom w:val="single" w:sz="4" w:space="0" w:color="auto"/>
              <w:right w:val="single" w:sz="4" w:space="0" w:color="auto"/>
            </w:tcBorders>
            <w:shd w:val="clear" w:color="auto" w:fill="auto"/>
            <w:vAlign w:val="center"/>
          </w:tcPr>
          <w:p w14:paraId="69D04EAF"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47.321.402,51 </w:t>
            </w:r>
          </w:p>
        </w:tc>
      </w:tr>
      <w:tr w:rsidR="001938E7" w:rsidRPr="00DD1154" w14:paraId="6F8B3B8C"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968763"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8.</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7ED4D314"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BILJANE DONJE</w:t>
            </w:r>
          </w:p>
        </w:tc>
        <w:tc>
          <w:tcPr>
            <w:tcW w:w="2482" w:type="dxa"/>
            <w:tcBorders>
              <w:top w:val="nil"/>
              <w:left w:val="nil"/>
              <w:bottom w:val="single" w:sz="4" w:space="0" w:color="auto"/>
              <w:right w:val="single" w:sz="4" w:space="0" w:color="auto"/>
            </w:tcBorders>
            <w:shd w:val="clear" w:color="auto" w:fill="auto"/>
            <w:vAlign w:val="center"/>
            <w:hideMark/>
          </w:tcPr>
          <w:p w14:paraId="45B2989B"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Sufinanciranje EU projekta </w:t>
            </w:r>
          </w:p>
        </w:tc>
        <w:tc>
          <w:tcPr>
            <w:tcW w:w="1559" w:type="dxa"/>
            <w:tcBorders>
              <w:top w:val="nil"/>
              <w:left w:val="nil"/>
              <w:bottom w:val="single" w:sz="4" w:space="0" w:color="auto"/>
              <w:right w:val="single" w:sz="4" w:space="0" w:color="auto"/>
            </w:tcBorders>
            <w:shd w:val="clear" w:color="auto" w:fill="auto"/>
            <w:vAlign w:val="center"/>
            <w:hideMark/>
          </w:tcPr>
          <w:p w14:paraId="6F955357"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7.311.030,60</w:t>
            </w:r>
          </w:p>
        </w:tc>
        <w:tc>
          <w:tcPr>
            <w:tcW w:w="1560" w:type="dxa"/>
            <w:tcBorders>
              <w:top w:val="single" w:sz="4" w:space="0" w:color="auto"/>
              <w:left w:val="nil"/>
              <w:bottom w:val="single" w:sz="4" w:space="0" w:color="auto"/>
              <w:right w:val="single" w:sz="4" w:space="0" w:color="auto"/>
            </w:tcBorders>
            <w:vAlign w:val="center"/>
          </w:tcPr>
          <w:p w14:paraId="4EAB1310"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2.651.262,71</w:t>
            </w:r>
          </w:p>
        </w:tc>
        <w:tc>
          <w:tcPr>
            <w:tcW w:w="1417" w:type="dxa"/>
            <w:tcBorders>
              <w:top w:val="nil"/>
              <w:left w:val="single" w:sz="4" w:space="0" w:color="auto"/>
              <w:bottom w:val="single" w:sz="4" w:space="0" w:color="auto"/>
              <w:right w:val="single" w:sz="4" w:space="0" w:color="auto"/>
            </w:tcBorders>
            <w:shd w:val="clear" w:color="auto" w:fill="auto"/>
            <w:vAlign w:val="center"/>
          </w:tcPr>
          <w:p w14:paraId="14071A5E"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55.151.843,86 </w:t>
            </w:r>
          </w:p>
        </w:tc>
      </w:tr>
      <w:tr w:rsidR="001938E7" w:rsidRPr="00DD1154" w14:paraId="535F7167"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785AED"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9.</w:t>
            </w:r>
          </w:p>
        </w:tc>
        <w:tc>
          <w:tcPr>
            <w:tcW w:w="1487" w:type="dxa"/>
            <w:tcBorders>
              <w:top w:val="nil"/>
              <w:left w:val="nil"/>
              <w:bottom w:val="single" w:sz="4" w:space="0" w:color="auto"/>
              <w:right w:val="single" w:sz="4" w:space="0" w:color="auto"/>
            </w:tcBorders>
            <w:shd w:val="clear" w:color="auto" w:fill="auto"/>
            <w:vAlign w:val="center"/>
            <w:hideMark/>
          </w:tcPr>
          <w:p w14:paraId="634513AE"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BIKARAC</w:t>
            </w:r>
          </w:p>
        </w:tc>
        <w:tc>
          <w:tcPr>
            <w:tcW w:w="2482" w:type="dxa"/>
            <w:tcBorders>
              <w:top w:val="nil"/>
              <w:left w:val="nil"/>
              <w:bottom w:val="single" w:sz="4" w:space="0" w:color="auto"/>
              <w:right w:val="single" w:sz="4" w:space="0" w:color="auto"/>
            </w:tcBorders>
            <w:shd w:val="clear" w:color="auto" w:fill="auto"/>
            <w:vAlign w:val="center"/>
            <w:hideMark/>
          </w:tcPr>
          <w:p w14:paraId="6C10F564"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Sufinanciranje EU projekta </w:t>
            </w:r>
          </w:p>
        </w:tc>
        <w:tc>
          <w:tcPr>
            <w:tcW w:w="1559" w:type="dxa"/>
            <w:tcBorders>
              <w:top w:val="nil"/>
              <w:left w:val="nil"/>
              <w:bottom w:val="single" w:sz="4" w:space="0" w:color="auto"/>
              <w:right w:val="single" w:sz="4" w:space="0" w:color="auto"/>
            </w:tcBorders>
            <w:shd w:val="clear" w:color="auto" w:fill="auto"/>
            <w:vAlign w:val="center"/>
            <w:hideMark/>
          </w:tcPr>
          <w:p w14:paraId="61A2EED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1.374.966,37</w:t>
            </w:r>
          </w:p>
        </w:tc>
        <w:tc>
          <w:tcPr>
            <w:tcW w:w="1560" w:type="dxa"/>
            <w:tcBorders>
              <w:top w:val="single" w:sz="4" w:space="0" w:color="auto"/>
              <w:left w:val="nil"/>
              <w:bottom w:val="single" w:sz="4" w:space="0" w:color="auto"/>
              <w:right w:val="single" w:sz="4" w:space="0" w:color="auto"/>
            </w:tcBorders>
            <w:vAlign w:val="center"/>
          </w:tcPr>
          <w:p w14:paraId="42B1B580"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5.539.156,96</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8CD1F5"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21.250.846,58 </w:t>
            </w:r>
          </w:p>
        </w:tc>
      </w:tr>
      <w:tr w:rsidR="001938E7" w:rsidRPr="00DD1154" w14:paraId="007106E5"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8E6E9D"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10.</w:t>
            </w:r>
          </w:p>
        </w:tc>
        <w:tc>
          <w:tcPr>
            <w:tcW w:w="1487" w:type="dxa"/>
            <w:tcBorders>
              <w:top w:val="nil"/>
              <w:left w:val="nil"/>
              <w:bottom w:val="single" w:sz="4" w:space="0" w:color="auto"/>
              <w:right w:val="single" w:sz="4" w:space="0" w:color="auto"/>
            </w:tcBorders>
            <w:shd w:val="clear" w:color="auto" w:fill="auto"/>
            <w:vAlign w:val="center"/>
            <w:hideMark/>
          </w:tcPr>
          <w:p w14:paraId="6636299E"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LEĆEVICA</w:t>
            </w:r>
          </w:p>
        </w:tc>
        <w:tc>
          <w:tcPr>
            <w:tcW w:w="2482" w:type="dxa"/>
            <w:tcBorders>
              <w:top w:val="nil"/>
              <w:left w:val="nil"/>
              <w:bottom w:val="single" w:sz="4" w:space="0" w:color="auto"/>
              <w:right w:val="single" w:sz="4" w:space="0" w:color="auto"/>
            </w:tcBorders>
            <w:shd w:val="clear" w:color="auto" w:fill="auto"/>
            <w:vAlign w:val="center"/>
            <w:hideMark/>
          </w:tcPr>
          <w:p w14:paraId="46E76F29"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Sufinanciranje EU projekta </w:t>
            </w:r>
          </w:p>
        </w:tc>
        <w:tc>
          <w:tcPr>
            <w:tcW w:w="1559" w:type="dxa"/>
            <w:tcBorders>
              <w:top w:val="nil"/>
              <w:left w:val="nil"/>
              <w:bottom w:val="single" w:sz="4" w:space="0" w:color="auto"/>
              <w:right w:val="single" w:sz="4" w:space="0" w:color="auto"/>
            </w:tcBorders>
            <w:shd w:val="clear" w:color="auto" w:fill="auto"/>
            <w:vAlign w:val="center"/>
            <w:hideMark/>
          </w:tcPr>
          <w:p w14:paraId="37A04CCA"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1BAEB382"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113.608,97</w:t>
            </w:r>
          </w:p>
        </w:tc>
        <w:tc>
          <w:tcPr>
            <w:tcW w:w="1417" w:type="dxa"/>
            <w:tcBorders>
              <w:top w:val="nil"/>
              <w:left w:val="single" w:sz="4" w:space="0" w:color="auto"/>
              <w:bottom w:val="single" w:sz="4" w:space="0" w:color="auto"/>
              <w:right w:val="single" w:sz="4" w:space="0" w:color="auto"/>
            </w:tcBorders>
            <w:shd w:val="clear" w:color="auto" w:fill="auto"/>
            <w:vAlign w:val="center"/>
          </w:tcPr>
          <w:p w14:paraId="182938B4"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86.110.563,98 </w:t>
            </w:r>
          </w:p>
        </w:tc>
      </w:tr>
      <w:tr w:rsidR="001938E7" w:rsidRPr="00DD1154" w14:paraId="66749DC8"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2226D5"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11.</w:t>
            </w:r>
          </w:p>
        </w:tc>
        <w:tc>
          <w:tcPr>
            <w:tcW w:w="1487" w:type="dxa"/>
            <w:tcBorders>
              <w:top w:val="nil"/>
              <w:left w:val="nil"/>
              <w:bottom w:val="single" w:sz="4" w:space="0" w:color="auto"/>
              <w:right w:val="single" w:sz="4" w:space="0" w:color="auto"/>
            </w:tcBorders>
            <w:shd w:val="clear" w:color="auto" w:fill="auto"/>
            <w:vAlign w:val="center"/>
            <w:hideMark/>
          </w:tcPr>
          <w:p w14:paraId="3838703A"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LUČINO RAZDOLJE</w:t>
            </w:r>
          </w:p>
        </w:tc>
        <w:tc>
          <w:tcPr>
            <w:tcW w:w="2482" w:type="dxa"/>
            <w:tcBorders>
              <w:top w:val="nil"/>
              <w:left w:val="nil"/>
              <w:bottom w:val="single" w:sz="4" w:space="0" w:color="auto"/>
              <w:right w:val="single" w:sz="4" w:space="0" w:color="auto"/>
            </w:tcBorders>
            <w:shd w:val="clear" w:color="auto" w:fill="auto"/>
            <w:vAlign w:val="center"/>
            <w:hideMark/>
          </w:tcPr>
          <w:p w14:paraId="683644E9"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Sufinanciranje EU projekta </w:t>
            </w:r>
          </w:p>
        </w:tc>
        <w:tc>
          <w:tcPr>
            <w:tcW w:w="1559" w:type="dxa"/>
            <w:tcBorders>
              <w:top w:val="nil"/>
              <w:left w:val="nil"/>
              <w:bottom w:val="single" w:sz="4" w:space="0" w:color="auto"/>
              <w:right w:val="single" w:sz="4" w:space="0" w:color="auto"/>
            </w:tcBorders>
            <w:shd w:val="clear" w:color="auto" w:fill="auto"/>
            <w:vAlign w:val="center"/>
            <w:hideMark/>
          </w:tcPr>
          <w:p w14:paraId="04FE8D1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34777B2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731.679,76</w:t>
            </w:r>
          </w:p>
        </w:tc>
        <w:tc>
          <w:tcPr>
            <w:tcW w:w="1417" w:type="dxa"/>
            <w:tcBorders>
              <w:top w:val="nil"/>
              <w:left w:val="single" w:sz="4" w:space="0" w:color="auto"/>
              <w:bottom w:val="single" w:sz="4" w:space="0" w:color="auto"/>
              <w:right w:val="single" w:sz="4" w:space="0" w:color="auto"/>
            </w:tcBorders>
            <w:shd w:val="clear" w:color="auto" w:fill="auto"/>
            <w:vAlign w:val="center"/>
          </w:tcPr>
          <w:p w14:paraId="66BC722A"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80.277.403,01 </w:t>
            </w:r>
          </w:p>
        </w:tc>
      </w:tr>
      <w:tr w:rsidR="001938E7" w:rsidRPr="00DD1154" w14:paraId="3F290663"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D5EA6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12.</w:t>
            </w:r>
          </w:p>
        </w:tc>
        <w:tc>
          <w:tcPr>
            <w:tcW w:w="1487" w:type="dxa"/>
            <w:tcBorders>
              <w:top w:val="nil"/>
              <w:left w:val="nil"/>
              <w:bottom w:val="single" w:sz="4" w:space="0" w:color="auto"/>
              <w:right w:val="single" w:sz="4" w:space="0" w:color="auto"/>
            </w:tcBorders>
            <w:shd w:val="clear" w:color="auto" w:fill="auto"/>
            <w:vAlign w:val="center"/>
            <w:hideMark/>
          </w:tcPr>
          <w:p w14:paraId="038E6F14"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KAŠTIJUN</w:t>
            </w:r>
          </w:p>
        </w:tc>
        <w:tc>
          <w:tcPr>
            <w:tcW w:w="2482" w:type="dxa"/>
            <w:tcBorders>
              <w:top w:val="nil"/>
              <w:left w:val="nil"/>
              <w:bottom w:val="single" w:sz="4" w:space="0" w:color="auto"/>
              <w:right w:val="single" w:sz="4" w:space="0" w:color="auto"/>
            </w:tcBorders>
            <w:shd w:val="clear" w:color="auto" w:fill="auto"/>
            <w:vAlign w:val="center"/>
            <w:hideMark/>
          </w:tcPr>
          <w:p w14:paraId="0A47F6D6"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radovi na nadogradnji centra</w:t>
            </w:r>
          </w:p>
        </w:tc>
        <w:tc>
          <w:tcPr>
            <w:tcW w:w="1559" w:type="dxa"/>
            <w:tcBorders>
              <w:top w:val="nil"/>
              <w:left w:val="nil"/>
              <w:bottom w:val="single" w:sz="4" w:space="0" w:color="auto"/>
              <w:right w:val="single" w:sz="4" w:space="0" w:color="auto"/>
            </w:tcBorders>
            <w:shd w:val="clear" w:color="auto" w:fill="auto"/>
            <w:vAlign w:val="center"/>
            <w:hideMark/>
          </w:tcPr>
          <w:p w14:paraId="05D5156F"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5AA404CF"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6.410.424,73</w:t>
            </w:r>
          </w:p>
        </w:tc>
        <w:tc>
          <w:tcPr>
            <w:tcW w:w="1417" w:type="dxa"/>
            <w:tcBorders>
              <w:top w:val="nil"/>
              <w:left w:val="single" w:sz="4" w:space="0" w:color="auto"/>
              <w:bottom w:val="single" w:sz="4" w:space="0" w:color="auto"/>
              <w:right w:val="single" w:sz="4" w:space="0" w:color="auto"/>
            </w:tcBorders>
            <w:shd w:val="clear" w:color="auto" w:fill="auto"/>
            <w:vAlign w:val="center"/>
          </w:tcPr>
          <w:p w14:paraId="61596FF5"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0,00 </w:t>
            </w:r>
          </w:p>
        </w:tc>
      </w:tr>
      <w:tr w:rsidR="001938E7" w:rsidRPr="00DD1154" w14:paraId="6467DFCE"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E6CB86"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13.</w:t>
            </w:r>
          </w:p>
        </w:tc>
        <w:tc>
          <w:tcPr>
            <w:tcW w:w="1487" w:type="dxa"/>
            <w:tcBorders>
              <w:top w:val="nil"/>
              <w:left w:val="nil"/>
              <w:bottom w:val="single" w:sz="4" w:space="0" w:color="auto"/>
              <w:right w:val="single" w:sz="4" w:space="0" w:color="auto"/>
            </w:tcBorders>
            <w:shd w:val="clear" w:color="auto" w:fill="auto"/>
            <w:vAlign w:val="center"/>
            <w:hideMark/>
          </w:tcPr>
          <w:p w14:paraId="681A9910"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KAŠTIJUN</w:t>
            </w:r>
          </w:p>
        </w:tc>
        <w:tc>
          <w:tcPr>
            <w:tcW w:w="2482" w:type="dxa"/>
            <w:tcBorders>
              <w:top w:val="nil"/>
              <w:left w:val="nil"/>
              <w:bottom w:val="single" w:sz="4" w:space="0" w:color="auto"/>
              <w:right w:val="single" w:sz="4" w:space="0" w:color="auto"/>
            </w:tcBorders>
            <w:shd w:val="clear" w:color="auto" w:fill="auto"/>
            <w:vAlign w:val="center"/>
            <w:hideMark/>
          </w:tcPr>
          <w:p w14:paraId="5F6EDC4B"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nadzor tijekom razdoblja za obavještavanje o nedostacima i zatvaranja ugovora za ŽCGO Kaštijun</w:t>
            </w:r>
          </w:p>
          <w:p w14:paraId="3B060F26" w14:textId="77777777" w:rsidR="001938E7" w:rsidRPr="00DD1154" w:rsidRDefault="001938E7" w:rsidP="007270A2">
            <w:pPr>
              <w:spacing w:after="0" w:line="240" w:lineRule="auto"/>
              <w:jc w:val="center"/>
              <w:rPr>
                <w:rFonts w:eastAsia="Times New Roman"/>
                <w:sz w:val="20"/>
                <w:szCs w:val="20"/>
                <w:lang w:eastAsia="hr-HR"/>
              </w:rPr>
            </w:pPr>
          </w:p>
        </w:tc>
        <w:tc>
          <w:tcPr>
            <w:tcW w:w="1559" w:type="dxa"/>
            <w:tcBorders>
              <w:top w:val="nil"/>
              <w:left w:val="nil"/>
              <w:bottom w:val="single" w:sz="4" w:space="0" w:color="auto"/>
              <w:right w:val="single" w:sz="4" w:space="0" w:color="auto"/>
            </w:tcBorders>
            <w:shd w:val="clear" w:color="auto" w:fill="auto"/>
            <w:vAlign w:val="center"/>
            <w:hideMark/>
          </w:tcPr>
          <w:p w14:paraId="727FFFD7"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372.650,00</w:t>
            </w:r>
          </w:p>
        </w:tc>
        <w:tc>
          <w:tcPr>
            <w:tcW w:w="1560" w:type="dxa"/>
            <w:tcBorders>
              <w:top w:val="single" w:sz="4" w:space="0" w:color="auto"/>
              <w:left w:val="nil"/>
              <w:bottom w:val="single" w:sz="4" w:space="0" w:color="auto"/>
              <w:right w:val="single" w:sz="4" w:space="0" w:color="auto"/>
            </w:tcBorders>
            <w:vAlign w:val="center"/>
          </w:tcPr>
          <w:p w14:paraId="3386CF8C"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417" w:type="dxa"/>
            <w:tcBorders>
              <w:top w:val="nil"/>
              <w:left w:val="single" w:sz="4" w:space="0" w:color="auto"/>
              <w:bottom w:val="single" w:sz="4" w:space="0" w:color="auto"/>
              <w:right w:val="single" w:sz="4" w:space="0" w:color="auto"/>
            </w:tcBorders>
            <w:shd w:val="clear" w:color="auto" w:fill="auto"/>
            <w:vAlign w:val="center"/>
          </w:tcPr>
          <w:p w14:paraId="55D4EBD3"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0,00 </w:t>
            </w:r>
          </w:p>
        </w:tc>
      </w:tr>
      <w:tr w:rsidR="001938E7" w:rsidRPr="00DD1154" w14:paraId="7CE6ACCA" w14:textId="77777777" w:rsidTr="00730ABE">
        <w:trPr>
          <w:trHeight w:val="300"/>
        </w:trPr>
        <w:tc>
          <w:tcPr>
            <w:tcW w:w="704" w:type="dxa"/>
            <w:tcBorders>
              <w:top w:val="nil"/>
              <w:left w:val="single" w:sz="4" w:space="0" w:color="auto"/>
              <w:bottom w:val="single" w:sz="4" w:space="0" w:color="auto"/>
              <w:right w:val="single" w:sz="4" w:space="0" w:color="auto"/>
            </w:tcBorders>
            <w:shd w:val="clear" w:color="auto" w:fill="auto"/>
            <w:vAlign w:val="center"/>
          </w:tcPr>
          <w:p w14:paraId="0001E01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14.</w:t>
            </w:r>
          </w:p>
        </w:tc>
        <w:tc>
          <w:tcPr>
            <w:tcW w:w="1487" w:type="dxa"/>
            <w:tcBorders>
              <w:top w:val="nil"/>
              <w:left w:val="nil"/>
              <w:bottom w:val="single" w:sz="4" w:space="0" w:color="auto"/>
              <w:right w:val="single" w:sz="4" w:space="0" w:color="auto"/>
            </w:tcBorders>
            <w:shd w:val="clear" w:color="auto" w:fill="auto"/>
            <w:vAlign w:val="center"/>
          </w:tcPr>
          <w:p w14:paraId="62FEAEAA"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KAŠTIJUN</w:t>
            </w:r>
          </w:p>
        </w:tc>
        <w:tc>
          <w:tcPr>
            <w:tcW w:w="2482" w:type="dxa"/>
            <w:tcBorders>
              <w:top w:val="nil"/>
              <w:left w:val="nil"/>
              <w:bottom w:val="single" w:sz="4" w:space="0" w:color="auto"/>
              <w:right w:val="single" w:sz="4" w:space="0" w:color="auto"/>
            </w:tcBorders>
            <w:shd w:val="clear" w:color="auto" w:fill="auto"/>
            <w:vAlign w:val="center"/>
          </w:tcPr>
          <w:p w14:paraId="5F7FA791"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nadzor radova na nadogradnji centra</w:t>
            </w:r>
          </w:p>
        </w:tc>
        <w:tc>
          <w:tcPr>
            <w:tcW w:w="1559" w:type="dxa"/>
            <w:tcBorders>
              <w:top w:val="nil"/>
              <w:left w:val="nil"/>
              <w:bottom w:val="single" w:sz="4" w:space="0" w:color="auto"/>
              <w:right w:val="single" w:sz="4" w:space="0" w:color="auto"/>
            </w:tcBorders>
            <w:shd w:val="clear" w:color="auto" w:fill="auto"/>
            <w:vAlign w:val="center"/>
          </w:tcPr>
          <w:p w14:paraId="3F4C5E63"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6FCDC757"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180.000,00</w:t>
            </w:r>
          </w:p>
        </w:tc>
        <w:tc>
          <w:tcPr>
            <w:tcW w:w="1417" w:type="dxa"/>
            <w:tcBorders>
              <w:top w:val="nil"/>
              <w:left w:val="single" w:sz="4" w:space="0" w:color="auto"/>
              <w:bottom w:val="single" w:sz="4" w:space="0" w:color="auto"/>
              <w:right w:val="single" w:sz="4" w:space="0" w:color="auto"/>
            </w:tcBorders>
            <w:shd w:val="clear" w:color="auto" w:fill="auto"/>
            <w:vAlign w:val="center"/>
          </w:tcPr>
          <w:p w14:paraId="44654A78"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r>
      <w:tr w:rsidR="001938E7" w:rsidRPr="00DD1154" w14:paraId="27468F6F" w14:textId="77777777" w:rsidTr="00730ABE">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FC15C"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15.</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1829C98E"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BIKARAC</w:t>
            </w:r>
          </w:p>
        </w:tc>
        <w:tc>
          <w:tcPr>
            <w:tcW w:w="2482" w:type="dxa"/>
            <w:tcBorders>
              <w:top w:val="single" w:sz="4" w:space="0" w:color="auto"/>
              <w:left w:val="nil"/>
              <w:bottom w:val="single" w:sz="4" w:space="0" w:color="auto"/>
              <w:right w:val="single" w:sz="4" w:space="0" w:color="auto"/>
            </w:tcBorders>
            <w:shd w:val="clear" w:color="auto" w:fill="auto"/>
            <w:vAlign w:val="center"/>
            <w:hideMark/>
          </w:tcPr>
          <w:p w14:paraId="16260BFA"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izgradnji nasipa na odlagališnoj plohi 1 u sklopu CGO Bikarac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A642EC"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21622E0E"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685.762,95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8D8C27"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689.890,00 </w:t>
            </w:r>
          </w:p>
        </w:tc>
      </w:tr>
      <w:tr w:rsidR="001938E7" w:rsidRPr="00DD1154" w14:paraId="7DA04806" w14:textId="77777777" w:rsidTr="00730ABE">
        <w:trPr>
          <w:trHeight w:val="43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F951F1"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16. </w:t>
            </w:r>
          </w:p>
        </w:tc>
        <w:tc>
          <w:tcPr>
            <w:tcW w:w="1487" w:type="dxa"/>
            <w:tcBorders>
              <w:top w:val="single" w:sz="4" w:space="0" w:color="auto"/>
              <w:left w:val="nil"/>
              <w:bottom w:val="single" w:sz="4" w:space="0" w:color="auto"/>
              <w:right w:val="single" w:sz="4" w:space="0" w:color="auto"/>
            </w:tcBorders>
            <w:shd w:val="clear" w:color="auto" w:fill="auto"/>
            <w:vAlign w:val="center"/>
          </w:tcPr>
          <w:p w14:paraId="6FC9625D"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PIŠKORNICA</w:t>
            </w:r>
          </w:p>
        </w:tc>
        <w:tc>
          <w:tcPr>
            <w:tcW w:w="2482" w:type="dxa"/>
            <w:tcBorders>
              <w:top w:val="single" w:sz="4" w:space="0" w:color="auto"/>
              <w:left w:val="nil"/>
              <w:bottom w:val="single" w:sz="4" w:space="0" w:color="auto"/>
              <w:right w:val="single" w:sz="4" w:space="0" w:color="auto"/>
            </w:tcBorders>
            <w:shd w:val="clear" w:color="auto" w:fill="auto"/>
            <w:vAlign w:val="center"/>
          </w:tcPr>
          <w:p w14:paraId="1BCF857F"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Sufinanciranje EU projekta</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41086C"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560" w:type="dxa"/>
            <w:tcBorders>
              <w:top w:val="single" w:sz="4" w:space="0" w:color="auto"/>
              <w:left w:val="nil"/>
              <w:bottom w:val="single" w:sz="4" w:space="0" w:color="auto"/>
              <w:right w:val="single" w:sz="4" w:space="0" w:color="auto"/>
            </w:tcBorders>
            <w:vAlign w:val="center"/>
          </w:tcPr>
          <w:p w14:paraId="70ECBBF2"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33345" w14:textId="77777777" w:rsidR="001938E7" w:rsidRPr="00DD1154" w:rsidRDefault="001938E7" w:rsidP="007270A2">
            <w:pPr>
              <w:spacing w:after="0" w:line="240" w:lineRule="auto"/>
              <w:jc w:val="center"/>
              <w:rPr>
                <w:rFonts w:eastAsia="Times New Roman"/>
                <w:sz w:val="20"/>
                <w:szCs w:val="20"/>
                <w:lang w:eastAsia="hr-HR"/>
              </w:rPr>
            </w:pPr>
          </w:p>
          <w:p w14:paraId="4102AE51" w14:textId="77777777" w:rsidR="001938E7" w:rsidRPr="00DD1154" w:rsidRDefault="001938E7" w:rsidP="007270A2">
            <w:pPr>
              <w:spacing w:after="0" w:line="240" w:lineRule="auto"/>
              <w:jc w:val="center"/>
              <w:rPr>
                <w:rFonts w:eastAsia="Times New Roman"/>
                <w:sz w:val="20"/>
                <w:szCs w:val="20"/>
                <w:lang w:eastAsia="hr-HR"/>
              </w:rPr>
            </w:pPr>
            <w:r w:rsidRPr="00DD1154">
              <w:rPr>
                <w:rFonts w:eastAsia="Times New Roman"/>
                <w:sz w:val="20"/>
                <w:szCs w:val="20"/>
                <w:lang w:eastAsia="hr-HR"/>
              </w:rPr>
              <w:t xml:space="preserve">48.608.700,78 </w:t>
            </w:r>
          </w:p>
          <w:p w14:paraId="1EE62182" w14:textId="77777777" w:rsidR="001938E7" w:rsidRPr="00DD1154" w:rsidRDefault="001938E7" w:rsidP="007270A2">
            <w:pPr>
              <w:spacing w:after="0" w:line="240" w:lineRule="auto"/>
              <w:jc w:val="center"/>
              <w:rPr>
                <w:rFonts w:eastAsia="Times New Roman"/>
                <w:sz w:val="20"/>
                <w:szCs w:val="20"/>
                <w:lang w:eastAsia="hr-HR"/>
              </w:rPr>
            </w:pPr>
          </w:p>
        </w:tc>
      </w:tr>
      <w:tr w:rsidR="001938E7" w:rsidRPr="00DD1154" w14:paraId="32EF1349" w14:textId="77777777" w:rsidTr="00730ABE">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F7F92E" w14:textId="77777777" w:rsidR="001938E7" w:rsidRPr="00DD1154" w:rsidRDefault="001938E7" w:rsidP="007270A2">
            <w:pPr>
              <w:spacing w:after="0" w:line="240" w:lineRule="auto"/>
              <w:jc w:val="center"/>
              <w:rPr>
                <w:rFonts w:eastAsia="Times New Roman"/>
                <w:b/>
                <w:bCs/>
                <w:sz w:val="20"/>
                <w:szCs w:val="20"/>
                <w:lang w:eastAsia="hr-HR"/>
              </w:rPr>
            </w:pPr>
          </w:p>
        </w:tc>
        <w:tc>
          <w:tcPr>
            <w:tcW w:w="1487" w:type="dxa"/>
            <w:tcBorders>
              <w:top w:val="single" w:sz="4" w:space="0" w:color="auto"/>
              <w:left w:val="nil"/>
              <w:bottom w:val="single" w:sz="4" w:space="0" w:color="auto"/>
              <w:right w:val="single" w:sz="4" w:space="0" w:color="auto"/>
            </w:tcBorders>
            <w:shd w:val="clear" w:color="auto" w:fill="auto"/>
            <w:vAlign w:val="center"/>
          </w:tcPr>
          <w:p w14:paraId="2C1F1BE0"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UKUPNO</w:t>
            </w:r>
          </w:p>
        </w:tc>
        <w:tc>
          <w:tcPr>
            <w:tcW w:w="2482" w:type="dxa"/>
            <w:tcBorders>
              <w:top w:val="single" w:sz="4" w:space="0" w:color="auto"/>
              <w:left w:val="nil"/>
              <w:bottom w:val="single" w:sz="4" w:space="0" w:color="auto"/>
              <w:right w:val="single" w:sz="4" w:space="0" w:color="auto"/>
            </w:tcBorders>
            <w:shd w:val="clear" w:color="auto" w:fill="auto"/>
            <w:vAlign w:val="center"/>
          </w:tcPr>
          <w:p w14:paraId="407D22C3" w14:textId="77777777" w:rsidR="001938E7" w:rsidRPr="00DD1154" w:rsidRDefault="001938E7" w:rsidP="007270A2">
            <w:pPr>
              <w:spacing w:after="0" w:line="240" w:lineRule="auto"/>
              <w:jc w:val="center"/>
              <w:rPr>
                <w:rFonts w:eastAsia="Times New Roman"/>
                <w:b/>
                <w:bCs/>
                <w:sz w:val="20"/>
                <w:szCs w:val="20"/>
                <w:lang w:eastAsia="hr-HR"/>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BAB6A22" w14:textId="77777777" w:rsidR="001938E7" w:rsidRPr="00DD1154" w:rsidRDefault="001938E7" w:rsidP="007270A2">
            <w:pPr>
              <w:spacing w:after="0" w:line="240" w:lineRule="auto"/>
              <w:jc w:val="center"/>
              <w:rPr>
                <w:rFonts w:eastAsia="Times New Roman"/>
                <w:b/>
                <w:bCs/>
                <w:sz w:val="20"/>
                <w:szCs w:val="20"/>
                <w:lang w:eastAsia="hr-HR"/>
              </w:rPr>
            </w:pPr>
          </w:p>
          <w:p w14:paraId="1A136548"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10.057.396,97</w:t>
            </w:r>
          </w:p>
          <w:p w14:paraId="75214735" w14:textId="77777777" w:rsidR="001938E7" w:rsidRPr="00DD1154" w:rsidRDefault="001938E7" w:rsidP="007270A2">
            <w:pPr>
              <w:spacing w:after="0" w:line="240" w:lineRule="auto"/>
              <w:jc w:val="center"/>
              <w:rPr>
                <w:rFonts w:eastAsia="Times New Roman"/>
                <w:b/>
                <w:bCs/>
                <w:sz w:val="20"/>
                <w:szCs w:val="20"/>
                <w:lang w:eastAsia="hr-HR"/>
              </w:rPr>
            </w:pPr>
          </w:p>
        </w:tc>
        <w:tc>
          <w:tcPr>
            <w:tcW w:w="1560" w:type="dxa"/>
            <w:tcBorders>
              <w:top w:val="single" w:sz="4" w:space="0" w:color="auto"/>
              <w:left w:val="nil"/>
              <w:bottom w:val="single" w:sz="4" w:space="0" w:color="auto"/>
              <w:right w:val="single" w:sz="4" w:space="0" w:color="auto"/>
            </w:tcBorders>
            <w:vAlign w:val="center"/>
          </w:tcPr>
          <w:p w14:paraId="18B5A41B" w14:textId="77777777" w:rsidR="001938E7" w:rsidRPr="00DD1154" w:rsidRDefault="001938E7" w:rsidP="007270A2">
            <w:pPr>
              <w:spacing w:after="0" w:line="240" w:lineRule="auto"/>
              <w:jc w:val="center"/>
              <w:rPr>
                <w:rFonts w:eastAsia="Times New Roman"/>
                <w:b/>
                <w:bCs/>
                <w:sz w:val="20"/>
                <w:szCs w:val="20"/>
                <w:lang w:eastAsia="hr-HR"/>
              </w:rPr>
            </w:pPr>
          </w:p>
          <w:p w14:paraId="0B65705C"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17.294.618,67</w:t>
            </w:r>
          </w:p>
          <w:p w14:paraId="4D943703" w14:textId="77777777" w:rsidR="001938E7" w:rsidRPr="00DD1154" w:rsidRDefault="001938E7" w:rsidP="007270A2">
            <w:pPr>
              <w:spacing w:after="0" w:line="240" w:lineRule="auto"/>
              <w:jc w:val="center"/>
              <w:rPr>
                <w:rFonts w:eastAsia="Times New Roman"/>
                <w:b/>
                <w:bCs/>
                <w:sz w:val="20"/>
                <w:szCs w:val="20"/>
                <w:lang w:eastAsia="hr-H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0F53C4" w14:textId="77777777" w:rsidR="001938E7" w:rsidRPr="00DD1154" w:rsidRDefault="001938E7" w:rsidP="007270A2">
            <w:pPr>
              <w:spacing w:after="0" w:line="240" w:lineRule="auto"/>
              <w:jc w:val="center"/>
              <w:rPr>
                <w:rFonts w:eastAsia="Times New Roman"/>
                <w:b/>
                <w:bCs/>
                <w:sz w:val="20"/>
                <w:szCs w:val="20"/>
                <w:lang w:eastAsia="hr-HR"/>
              </w:rPr>
            </w:pPr>
          </w:p>
          <w:p w14:paraId="490D72B3" w14:textId="77777777" w:rsidR="001938E7" w:rsidRPr="00DD1154" w:rsidRDefault="001938E7" w:rsidP="007270A2">
            <w:pPr>
              <w:spacing w:after="0" w:line="240" w:lineRule="auto"/>
              <w:jc w:val="center"/>
              <w:rPr>
                <w:rFonts w:eastAsia="Times New Roman"/>
                <w:b/>
                <w:bCs/>
                <w:sz w:val="20"/>
                <w:szCs w:val="20"/>
                <w:lang w:eastAsia="hr-HR"/>
              </w:rPr>
            </w:pPr>
            <w:r w:rsidRPr="00DD1154">
              <w:rPr>
                <w:rFonts w:eastAsia="Times New Roman"/>
                <w:b/>
                <w:bCs/>
                <w:sz w:val="20"/>
                <w:szCs w:val="20"/>
                <w:lang w:eastAsia="hr-HR"/>
              </w:rPr>
              <w:t>343.879.616,81</w:t>
            </w:r>
          </w:p>
          <w:p w14:paraId="23F61778" w14:textId="77777777" w:rsidR="001938E7" w:rsidRPr="00DD1154" w:rsidRDefault="001938E7" w:rsidP="007270A2">
            <w:pPr>
              <w:spacing w:after="0" w:line="240" w:lineRule="auto"/>
              <w:jc w:val="center"/>
              <w:rPr>
                <w:rFonts w:eastAsia="Times New Roman"/>
                <w:b/>
                <w:bCs/>
                <w:sz w:val="20"/>
                <w:szCs w:val="20"/>
                <w:lang w:eastAsia="hr-HR"/>
              </w:rPr>
            </w:pPr>
          </w:p>
        </w:tc>
      </w:tr>
    </w:tbl>
    <w:p w14:paraId="0DAEA6BF" w14:textId="4497A38E" w:rsidR="00027F8A" w:rsidRPr="00DD1154" w:rsidRDefault="00027F8A" w:rsidP="001938E7">
      <w:pPr>
        <w:spacing w:before="60" w:after="60"/>
        <w:rPr>
          <w:rFonts w:eastAsia="Times New Roman"/>
          <w:b/>
          <w:lang w:eastAsia="hr-HR"/>
        </w:rPr>
      </w:pPr>
    </w:p>
    <w:p w14:paraId="003FAD88" w14:textId="5E2E9151" w:rsidR="00027F8A" w:rsidRPr="00DD1154" w:rsidRDefault="00027F8A" w:rsidP="00027F8A">
      <w:pPr>
        <w:spacing w:before="60" w:after="60"/>
        <w:ind w:firstLine="567"/>
      </w:pPr>
      <w:r w:rsidRPr="00DD1154">
        <w:t xml:space="preserve">U odnosu na alocirana sredstva po ovoj mjeri realizacija je niska zbog dugotrajnosti i kompleksnosti ugovaranja radova, odnosno postupaka javne nabave. Iz navedenog razloga, još nisu ugovoreni radovi na centrima za gospodarenje otpadom </w:t>
      </w:r>
      <w:bookmarkStart w:id="19" w:name="_Hlk86750256"/>
      <w:r w:rsidRPr="00DD1154">
        <w:t>Babina Gora, Lećevica, Lučino Razdolje i Piškornica</w:t>
      </w:r>
      <w:bookmarkEnd w:id="19"/>
      <w:r w:rsidRPr="00DD1154">
        <w:t>, za koje je alociran najveći dio sredstava na ovoj mjeri.</w:t>
      </w:r>
    </w:p>
    <w:p w14:paraId="25F0DA1A" w14:textId="77777777" w:rsidR="00027F8A" w:rsidRPr="00DD1154" w:rsidRDefault="00027F8A" w:rsidP="00027F8A">
      <w:pPr>
        <w:spacing w:before="60" w:after="60"/>
        <w:ind w:firstLine="567"/>
      </w:pPr>
    </w:p>
    <w:p w14:paraId="23EBEAEB" w14:textId="77777777" w:rsidR="00027F8A" w:rsidRPr="00DD1154" w:rsidRDefault="00027F8A" w:rsidP="00027F8A">
      <w:pPr>
        <w:spacing w:before="60" w:after="60"/>
        <w:ind w:firstLine="567"/>
      </w:pPr>
      <w:r w:rsidRPr="00DD1154">
        <w:t xml:space="preserve">Preostale obveze, odnosno neutrošena sredstva odnose se na završetak izrade projektne dokumentacije (Šagulje, Orlovnjak, Zagreb), zatim na dovršetak radova na CGO Bikarac i Biljane Donje, te za sufinanciranje radove na centrima koji još nisu ugovorili radove (Babina Gora, Lećevica, Lučino Razdolje i Piškornica. Za Piškornicu preuzet je samo dio potrebnih troškova, dok će se preostali iznos osigurati iz novog plana. Za navedene centre EU sredstva su osigurana iz OPKK 2013-2020, koji mogu povlačiti sredstva do kraja 2023. godine, a nakon toga predviđeno je faziranje navedenih projekata radi utroška preostalih sredstava. </w:t>
      </w:r>
    </w:p>
    <w:p w14:paraId="41B01996" w14:textId="77777777" w:rsidR="00027F8A" w:rsidRPr="00DD1154" w:rsidRDefault="00027F8A" w:rsidP="00027F8A"/>
    <w:p w14:paraId="498B56F1" w14:textId="77777777" w:rsidR="00C55349" w:rsidRPr="00DD1154" w:rsidRDefault="004077D6" w:rsidP="00027F8A">
      <w:pPr>
        <w:rPr>
          <w:b/>
          <w:bCs/>
        </w:rPr>
      </w:pPr>
      <w:r w:rsidRPr="00DD1154">
        <w:rPr>
          <w:b/>
          <w:bCs/>
        </w:rPr>
        <w:t xml:space="preserve">Rekapitulacija Izvješća za 2019. i 2020. godinu: </w:t>
      </w:r>
    </w:p>
    <w:p w14:paraId="2D950873" w14:textId="0AAAB173" w:rsidR="008D4D94" w:rsidRPr="00DD1154" w:rsidRDefault="004077D6" w:rsidP="00E413FF">
      <w:pPr>
        <w:rPr>
          <w:b/>
          <w:bCs/>
        </w:rPr>
      </w:pPr>
      <w:r w:rsidRPr="00DD1154">
        <w:rPr>
          <w:b/>
          <w:bCs/>
        </w:rPr>
        <w:t xml:space="preserve">za </w:t>
      </w:r>
      <w:r w:rsidR="00AC4464" w:rsidRPr="00DD1154">
        <w:rPr>
          <w:b/>
          <w:bCs/>
        </w:rPr>
        <w:t>realizaciju 2.63</w:t>
      </w:r>
      <w:r w:rsidR="00C55349" w:rsidRPr="00DD1154">
        <w:rPr>
          <w:b/>
          <w:bCs/>
        </w:rPr>
        <w:t>2</w:t>
      </w:r>
      <w:r w:rsidR="00AC4464" w:rsidRPr="00DD1154">
        <w:rPr>
          <w:b/>
          <w:bCs/>
        </w:rPr>
        <w:t xml:space="preserve"> projekta</w:t>
      </w:r>
      <w:r w:rsidR="004850AA" w:rsidRPr="00DD1154">
        <w:rPr>
          <w:b/>
          <w:bCs/>
        </w:rPr>
        <w:t xml:space="preserve"> Fond je u </w:t>
      </w:r>
      <w:r w:rsidR="00C55349" w:rsidRPr="00DD1154">
        <w:rPr>
          <w:b/>
          <w:bCs/>
        </w:rPr>
        <w:t>dvogodišnjem razdoblju</w:t>
      </w:r>
      <w:r w:rsidR="004850AA" w:rsidRPr="00DD1154">
        <w:rPr>
          <w:b/>
          <w:bCs/>
        </w:rPr>
        <w:t xml:space="preserve"> </w:t>
      </w:r>
      <w:r w:rsidR="00C55349" w:rsidRPr="00DD1154">
        <w:rPr>
          <w:b/>
          <w:bCs/>
        </w:rPr>
        <w:t>realizirao (</w:t>
      </w:r>
      <w:r w:rsidR="004850AA" w:rsidRPr="00DD1154">
        <w:rPr>
          <w:b/>
          <w:bCs/>
        </w:rPr>
        <w:t>isplatio</w:t>
      </w:r>
      <w:r w:rsidR="00C55349" w:rsidRPr="00DD1154">
        <w:rPr>
          <w:b/>
          <w:bCs/>
        </w:rPr>
        <w:t>)</w:t>
      </w:r>
      <w:r w:rsidR="004850AA" w:rsidRPr="00DD1154">
        <w:rPr>
          <w:b/>
          <w:bCs/>
        </w:rPr>
        <w:t xml:space="preserve"> </w:t>
      </w:r>
      <w:r w:rsidR="00C55349" w:rsidRPr="00DD1154">
        <w:rPr>
          <w:b/>
          <w:bCs/>
        </w:rPr>
        <w:t>423.897.663</w:t>
      </w:r>
      <w:r w:rsidR="00806886">
        <w:rPr>
          <w:b/>
          <w:bCs/>
        </w:rPr>
        <w:t>,77</w:t>
      </w:r>
      <w:r w:rsidR="004850AA" w:rsidRPr="00DD1154">
        <w:rPr>
          <w:b/>
          <w:bCs/>
        </w:rPr>
        <w:t xml:space="preserve"> </w:t>
      </w:r>
      <w:r w:rsidR="00730ABE" w:rsidRPr="00DD1154">
        <w:rPr>
          <w:b/>
          <w:bCs/>
        </w:rPr>
        <w:t>kn</w:t>
      </w:r>
      <w:r w:rsidR="004850AA" w:rsidRPr="00DD1154">
        <w:rPr>
          <w:b/>
          <w:bCs/>
        </w:rPr>
        <w:t>.</w:t>
      </w:r>
    </w:p>
    <w:p w14:paraId="19C69077" w14:textId="02CA4EB6" w:rsidR="00B953D8" w:rsidRPr="00DD1154" w:rsidRDefault="00B953D8" w:rsidP="008D4D94">
      <w:pPr>
        <w:spacing w:before="60" w:after="60"/>
        <w:ind w:firstLine="567"/>
        <w:rPr>
          <w:rFonts w:eastAsia="Times New Roman"/>
          <w:lang w:eastAsia="hr-HR"/>
        </w:rPr>
      </w:pPr>
      <w:r w:rsidRPr="00DD1154">
        <w:rPr>
          <w:rFonts w:eastAsia="Times New Roman"/>
          <w:lang w:eastAsia="hr-HR"/>
        </w:rPr>
        <w:t xml:space="preserve">U </w:t>
      </w:r>
      <w:r w:rsidRPr="00DD1154">
        <w:rPr>
          <w:b/>
        </w:rPr>
        <w:t>Prilogu 1.</w:t>
      </w:r>
      <w:r w:rsidR="00557FDB" w:rsidRPr="00DD1154">
        <w:t xml:space="preserve"> ovoga Izvješća da</w:t>
      </w:r>
      <w:r w:rsidR="00E413FF" w:rsidRPr="00DD1154">
        <w:t>n</w:t>
      </w:r>
      <w:r w:rsidRPr="00DD1154">
        <w:t xml:space="preserve"> je prikaz alokacije i ukupne realizacije sredstava po godinama sukladno Planu i </w:t>
      </w:r>
      <w:r w:rsidR="00E413FF" w:rsidRPr="00DD1154">
        <w:t>p</w:t>
      </w:r>
      <w:r w:rsidRPr="00DD1154">
        <w:t>reraspodjeli Plana uz napomenu da se na mjeri ENU unutar iznosa 661.500.00</w:t>
      </w:r>
      <w:r w:rsidR="009C30E0" w:rsidRPr="00DD1154">
        <w:t xml:space="preserve">0 </w:t>
      </w:r>
      <w:r w:rsidR="006C04A7" w:rsidRPr="00DD1154">
        <w:t>kn</w:t>
      </w:r>
      <w:r w:rsidR="009C30E0" w:rsidRPr="00DD1154">
        <w:t xml:space="preserve">, iznos od </w:t>
      </w:r>
      <w:r w:rsidR="009C30E0" w:rsidRPr="00DD1154">
        <w:lastRenderedPageBreak/>
        <w:t xml:space="preserve">226.500.000 </w:t>
      </w:r>
      <w:r w:rsidR="00730ABE" w:rsidRPr="00DD1154">
        <w:t>kn</w:t>
      </w:r>
      <w:r w:rsidRPr="00DD1154">
        <w:t xml:space="preserve"> odnosi na podmirenje dospjelih obveza Fonda po Programu energetske obnove obiteljskih kuća za razdoblje 2014</w:t>
      </w:r>
      <w:r w:rsidR="00E413FF" w:rsidRPr="00DD1154">
        <w:t xml:space="preserve">. </w:t>
      </w:r>
      <w:r w:rsidRPr="00DD1154">
        <w:t>-</w:t>
      </w:r>
      <w:r w:rsidR="00E413FF" w:rsidRPr="00DD1154">
        <w:t xml:space="preserve"> </w:t>
      </w:r>
      <w:r w:rsidRPr="00DD1154">
        <w:t>2020.</w:t>
      </w:r>
    </w:p>
    <w:p w14:paraId="2365E7C8" w14:textId="71D29518" w:rsidR="00323B21" w:rsidRPr="00DD1154" w:rsidRDefault="00557FDB" w:rsidP="008D4D94">
      <w:pPr>
        <w:spacing w:before="60" w:after="60"/>
        <w:rPr>
          <w:rFonts w:eastAsia="Times New Roman"/>
          <w:lang w:eastAsia="hr-HR"/>
        </w:rPr>
      </w:pPr>
      <w:r w:rsidRPr="00DD1154">
        <w:rPr>
          <w:rFonts w:eastAsia="Times New Roman"/>
          <w:lang w:eastAsia="hr-HR"/>
        </w:rPr>
        <w:tab/>
        <w:t xml:space="preserve">U </w:t>
      </w:r>
      <w:r w:rsidRPr="00DD1154">
        <w:rPr>
          <w:rFonts w:eastAsia="Times New Roman"/>
          <w:b/>
          <w:lang w:eastAsia="hr-HR"/>
        </w:rPr>
        <w:t xml:space="preserve">Prilogu 2. </w:t>
      </w:r>
      <w:r w:rsidRPr="00DD1154">
        <w:rPr>
          <w:rFonts w:eastAsia="Times New Roman"/>
          <w:lang w:eastAsia="hr-HR"/>
        </w:rPr>
        <w:t xml:space="preserve">ovoga </w:t>
      </w:r>
      <w:r w:rsidR="00B55144" w:rsidRPr="00DD1154">
        <w:rPr>
          <w:rFonts w:eastAsia="Times New Roman"/>
          <w:lang w:eastAsia="hr-HR"/>
        </w:rPr>
        <w:t>I</w:t>
      </w:r>
      <w:r w:rsidRPr="00DD1154">
        <w:rPr>
          <w:rFonts w:eastAsia="Times New Roman"/>
          <w:lang w:eastAsia="hr-HR"/>
        </w:rPr>
        <w:t>zvješća da</w:t>
      </w:r>
      <w:r w:rsidR="00E413FF" w:rsidRPr="00DD1154">
        <w:rPr>
          <w:rFonts w:eastAsia="Times New Roman"/>
          <w:lang w:eastAsia="hr-HR"/>
        </w:rPr>
        <w:t>n</w:t>
      </w:r>
      <w:r w:rsidRPr="00DD1154">
        <w:rPr>
          <w:rFonts w:eastAsia="Times New Roman"/>
          <w:lang w:eastAsia="hr-HR"/>
        </w:rPr>
        <w:t xml:space="preserve">a je </w:t>
      </w:r>
      <w:r w:rsidRPr="00DD1154">
        <w:rPr>
          <w:rFonts w:eastAsia="Times New Roman"/>
          <w:b/>
          <w:lang w:eastAsia="hr-HR"/>
        </w:rPr>
        <w:t>rekapitulacija Plana korištenja financijskih sredstava dobivenih od prodaje emisijskih jedinica putem dražbi u Rep</w:t>
      </w:r>
      <w:r w:rsidR="008D4D94" w:rsidRPr="00DD1154">
        <w:rPr>
          <w:rFonts w:eastAsia="Times New Roman"/>
          <w:b/>
          <w:lang w:eastAsia="hr-HR"/>
        </w:rPr>
        <w:t>ublici Hrvatskoj do 2020. godini.</w:t>
      </w:r>
    </w:p>
    <w:p w14:paraId="22C6CA31" w14:textId="0FBBA7BF" w:rsidR="00163790" w:rsidRPr="00DD1154" w:rsidRDefault="00163790" w:rsidP="008D4D94">
      <w:pPr>
        <w:spacing w:after="0"/>
        <w:sectPr w:rsidR="00163790" w:rsidRPr="00DD1154" w:rsidSect="002F5505">
          <w:pgSz w:w="11906" w:h="16838"/>
          <w:pgMar w:top="1417" w:right="1417" w:bottom="1417" w:left="1417" w:header="708" w:footer="708" w:gutter="0"/>
          <w:cols w:space="708"/>
          <w:docGrid w:linePitch="360"/>
        </w:sectPr>
      </w:pPr>
    </w:p>
    <w:p w14:paraId="63002350" w14:textId="6DE9926A" w:rsidR="008607B4" w:rsidRPr="00DD1154" w:rsidRDefault="008607B4" w:rsidP="007157AC">
      <w:pPr>
        <w:spacing w:after="0" w:line="240" w:lineRule="auto"/>
        <w:rPr>
          <w:b/>
        </w:rPr>
      </w:pPr>
      <w:r w:rsidRPr="00DD1154">
        <w:rPr>
          <w:b/>
          <w:i/>
        </w:rPr>
        <w:lastRenderedPageBreak/>
        <w:t xml:space="preserve">Prilog 1. </w:t>
      </w:r>
      <w:r w:rsidRPr="00DD1154">
        <w:rPr>
          <w:b/>
        </w:rPr>
        <w:t>– Prikaz al</w:t>
      </w:r>
      <w:r w:rsidR="007C72B5" w:rsidRPr="00DD1154">
        <w:rPr>
          <w:b/>
        </w:rPr>
        <w:t xml:space="preserve">okacije i </w:t>
      </w:r>
      <w:r w:rsidR="00661B29" w:rsidRPr="00DD1154">
        <w:rPr>
          <w:b/>
        </w:rPr>
        <w:t xml:space="preserve">ukupne </w:t>
      </w:r>
      <w:r w:rsidR="007C72B5" w:rsidRPr="00DD1154">
        <w:rPr>
          <w:b/>
        </w:rPr>
        <w:t>realizacije sredstava</w:t>
      </w:r>
      <w:r w:rsidR="008D4D94" w:rsidRPr="00DD1154">
        <w:rPr>
          <w:b/>
        </w:rPr>
        <w:t xml:space="preserve"> po godinama i mjerama</w:t>
      </w:r>
    </w:p>
    <w:p w14:paraId="070B4806" w14:textId="77777777" w:rsidR="00332CA1" w:rsidRPr="00DD1154" w:rsidRDefault="00332CA1" w:rsidP="007157AC">
      <w:pPr>
        <w:spacing w:after="0" w:line="240" w:lineRule="auto"/>
        <w:rPr>
          <w:b/>
        </w:rPr>
      </w:pPr>
    </w:p>
    <w:tbl>
      <w:tblPr>
        <w:tblW w:w="15388" w:type="dxa"/>
        <w:tblInd w:w="-10" w:type="dxa"/>
        <w:tblLook w:val="04A0" w:firstRow="1" w:lastRow="0" w:firstColumn="1" w:lastColumn="0" w:noHBand="0" w:noVBand="1"/>
      </w:tblPr>
      <w:tblGrid>
        <w:gridCol w:w="863"/>
        <w:gridCol w:w="1462"/>
        <w:gridCol w:w="1452"/>
        <w:gridCol w:w="1060"/>
        <w:gridCol w:w="1275"/>
        <w:gridCol w:w="1320"/>
        <w:gridCol w:w="1231"/>
        <w:gridCol w:w="1320"/>
        <w:gridCol w:w="1534"/>
        <w:gridCol w:w="1099"/>
        <w:gridCol w:w="1320"/>
        <w:gridCol w:w="1452"/>
      </w:tblGrid>
      <w:tr w:rsidR="000C1538" w:rsidRPr="00CF3958" w14:paraId="63EB8750" w14:textId="77777777" w:rsidTr="000C1538">
        <w:trPr>
          <w:trHeight w:val="1851"/>
        </w:trPr>
        <w:tc>
          <w:tcPr>
            <w:tcW w:w="844" w:type="dxa"/>
            <w:tcBorders>
              <w:top w:val="single" w:sz="8" w:space="0" w:color="auto"/>
              <w:left w:val="single" w:sz="8" w:space="0" w:color="auto"/>
              <w:bottom w:val="nil"/>
              <w:right w:val="single" w:sz="8" w:space="0" w:color="auto"/>
            </w:tcBorders>
            <w:shd w:val="clear" w:color="000000" w:fill="9BC2E6"/>
            <w:vAlign w:val="center"/>
            <w:hideMark/>
          </w:tcPr>
          <w:p w14:paraId="2C4141CC" w14:textId="2C131007" w:rsidR="00425428" w:rsidRPr="00CF3958" w:rsidRDefault="000532CC" w:rsidP="0042542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 xml:space="preserve">               </w:t>
            </w:r>
          </w:p>
        </w:tc>
        <w:tc>
          <w:tcPr>
            <w:tcW w:w="1425" w:type="dxa"/>
            <w:tcBorders>
              <w:top w:val="single" w:sz="8" w:space="0" w:color="auto"/>
              <w:left w:val="nil"/>
              <w:bottom w:val="nil"/>
              <w:right w:val="double" w:sz="6" w:space="0" w:color="auto"/>
            </w:tcBorders>
            <w:shd w:val="clear" w:color="000000" w:fill="9BC2E6"/>
            <w:vAlign w:val="center"/>
            <w:hideMark/>
          </w:tcPr>
          <w:p w14:paraId="5E860AF8" w14:textId="77777777" w:rsidR="00425428" w:rsidRPr="00CF3958" w:rsidRDefault="00425428" w:rsidP="0042542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PRIORITETNA MJERA</w:t>
            </w:r>
          </w:p>
        </w:tc>
        <w:tc>
          <w:tcPr>
            <w:tcW w:w="1415" w:type="dxa"/>
            <w:tcBorders>
              <w:top w:val="single" w:sz="8" w:space="0" w:color="auto"/>
              <w:left w:val="nil"/>
              <w:bottom w:val="nil"/>
              <w:right w:val="single" w:sz="8" w:space="0" w:color="auto"/>
            </w:tcBorders>
            <w:shd w:val="clear" w:color="000000" w:fill="9BC2E6"/>
            <w:vAlign w:val="center"/>
            <w:hideMark/>
          </w:tcPr>
          <w:p w14:paraId="575FC075" w14:textId="77777777" w:rsidR="00425428" w:rsidRPr="00CF3958" w:rsidRDefault="00425428" w:rsidP="0042542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Planirana raspodjela</w:t>
            </w:r>
          </w:p>
        </w:tc>
        <w:tc>
          <w:tcPr>
            <w:tcW w:w="1034" w:type="dxa"/>
            <w:tcBorders>
              <w:top w:val="single" w:sz="8" w:space="0" w:color="auto"/>
              <w:left w:val="nil"/>
              <w:bottom w:val="nil"/>
              <w:right w:val="single" w:sz="8" w:space="0" w:color="auto"/>
            </w:tcBorders>
            <w:shd w:val="clear" w:color="000000" w:fill="9BC2E6"/>
            <w:vAlign w:val="center"/>
            <w:hideMark/>
          </w:tcPr>
          <w:p w14:paraId="0F6725B8" w14:textId="77777777" w:rsidR="00425428" w:rsidRPr="00CF3958" w:rsidRDefault="00425428" w:rsidP="0042542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Predložena postotna raspodjela</w:t>
            </w:r>
          </w:p>
        </w:tc>
        <w:tc>
          <w:tcPr>
            <w:tcW w:w="1415" w:type="dxa"/>
            <w:tcBorders>
              <w:top w:val="single" w:sz="8" w:space="0" w:color="auto"/>
              <w:left w:val="nil"/>
              <w:bottom w:val="nil"/>
              <w:right w:val="single" w:sz="8" w:space="0" w:color="auto"/>
            </w:tcBorders>
            <w:shd w:val="clear" w:color="000000" w:fill="9BC2E6"/>
            <w:vAlign w:val="center"/>
            <w:hideMark/>
          </w:tcPr>
          <w:p w14:paraId="031EB5D3" w14:textId="77777777" w:rsidR="00425428" w:rsidRPr="00CF3958" w:rsidRDefault="00425428" w:rsidP="0042542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Konačna raspodjela nakon donošenja izmjena Plana i preraspodjele</w:t>
            </w:r>
          </w:p>
        </w:tc>
        <w:tc>
          <w:tcPr>
            <w:tcW w:w="1286" w:type="dxa"/>
            <w:tcBorders>
              <w:top w:val="single" w:sz="8" w:space="0" w:color="auto"/>
              <w:left w:val="nil"/>
              <w:bottom w:val="nil"/>
              <w:right w:val="single" w:sz="8" w:space="0" w:color="auto"/>
            </w:tcBorders>
            <w:shd w:val="clear" w:color="000000" w:fill="9BC2E6"/>
            <w:vAlign w:val="center"/>
            <w:hideMark/>
          </w:tcPr>
          <w:p w14:paraId="4C32190C"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Realizacija 2017. - 2018.</w:t>
            </w:r>
          </w:p>
        </w:tc>
        <w:tc>
          <w:tcPr>
            <w:tcW w:w="1201" w:type="dxa"/>
            <w:tcBorders>
              <w:top w:val="single" w:sz="8" w:space="0" w:color="auto"/>
              <w:left w:val="nil"/>
              <w:bottom w:val="nil"/>
              <w:right w:val="single" w:sz="8" w:space="0" w:color="auto"/>
            </w:tcBorders>
            <w:shd w:val="clear" w:color="000000" w:fill="9BC2E6"/>
            <w:vAlign w:val="center"/>
            <w:hideMark/>
          </w:tcPr>
          <w:p w14:paraId="38F7C072"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Realizacija 2019.</w:t>
            </w:r>
          </w:p>
        </w:tc>
        <w:tc>
          <w:tcPr>
            <w:tcW w:w="1286" w:type="dxa"/>
            <w:tcBorders>
              <w:top w:val="single" w:sz="8" w:space="0" w:color="auto"/>
              <w:left w:val="nil"/>
              <w:bottom w:val="nil"/>
              <w:right w:val="single" w:sz="8" w:space="0" w:color="auto"/>
            </w:tcBorders>
            <w:shd w:val="clear" w:color="000000" w:fill="9BC2E6"/>
            <w:vAlign w:val="center"/>
            <w:hideMark/>
          </w:tcPr>
          <w:p w14:paraId="139EB327"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Realizacija 2020.</w:t>
            </w:r>
          </w:p>
        </w:tc>
        <w:tc>
          <w:tcPr>
            <w:tcW w:w="1709" w:type="dxa"/>
            <w:tcBorders>
              <w:top w:val="single" w:sz="8" w:space="0" w:color="auto"/>
              <w:left w:val="nil"/>
              <w:bottom w:val="nil"/>
              <w:right w:val="single" w:sz="8" w:space="0" w:color="auto"/>
            </w:tcBorders>
            <w:shd w:val="clear" w:color="000000" w:fill="9BC2E6"/>
            <w:vAlign w:val="center"/>
            <w:hideMark/>
          </w:tcPr>
          <w:p w14:paraId="4A4B9B8F"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Realizacija 2017. - 2020. (isplaćeno)</w:t>
            </w:r>
          </w:p>
        </w:tc>
        <w:tc>
          <w:tcPr>
            <w:tcW w:w="1072" w:type="dxa"/>
            <w:tcBorders>
              <w:top w:val="single" w:sz="8" w:space="0" w:color="auto"/>
              <w:left w:val="nil"/>
              <w:bottom w:val="nil"/>
              <w:right w:val="single" w:sz="8" w:space="0" w:color="auto"/>
            </w:tcBorders>
            <w:shd w:val="clear" w:color="000000" w:fill="9BC2E6"/>
            <w:vAlign w:val="center"/>
            <w:hideMark/>
          </w:tcPr>
          <w:p w14:paraId="519BA639"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Postotna raspodjela realiziranih sredstava</w:t>
            </w:r>
          </w:p>
        </w:tc>
        <w:tc>
          <w:tcPr>
            <w:tcW w:w="1286" w:type="dxa"/>
            <w:tcBorders>
              <w:top w:val="single" w:sz="8" w:space="0" w:color="auto"/>
              <w:left w:val="nil"/>
              <w:bottom w:val="nil"/>
              <w:right w:val="single" w:sz="8" w:space="0" w:color="auto"/>
            </w:tcBorders>
            <w:shd w:val="clear" w:color="000000" w:fill="9BC2E6"/>
            <w:vAlign w:val="center"/>
            <w:hideMark/>
          </w:tcPr>
          <w:p w14:paraId="5B44BA6A" w14:textId="77777777" w:rsidR="00425428" w:rsidRPr="00CF3958" w:rsidRDefault="00425428" w:rsidP="0042542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Preostale preuzete obveze na 31.12. 2020. (neisplaćeno)</w:t>
            </w:r>
          </w:p>
        </w:tc>
        <w:tc>
          <w:tcPr>
            <w:tcW w:w="1415" w:type="dxa"/>
            <w:tcBorders>
              <w:top w:val="single" w:sz="8" w:space="0" w:color="auto"/>
              <w:left w:val="nil"/>
              <w:bottom w:val="nil"/>
              <w:right w:val="single" w:sz="8" w:space="0" w:color="auto"/>
            </w:tcBorders>
            <w:shd w:val="clear" w:color="000000" w:fill="9BC2E6"/>
            <w:vAlign w:val="center"/>
            <w:hideMark/>
          </w:tcPr>
          <w:p w14:paraId="76B048F3" w14:textId="77777777" w:rsidR="00425428" w:rsidRPr="00CF3958" w:rsidRDefault="00425428" w:rsidP="0042542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 xml:space="preserve">Ukupno preuzeto (ugovoreno) po Planu </w:t>
            </w:r>
          </w:p>
        </w:tc>
      </w:tr>
      <w:tr w:rsidR="000C1538" w:rsidRPr="00CF3958" w14:paraId="09AA05E3" w14:textId="77777777" w:rsidTr="000C1538">
        <w:trPr>
          <w:trHeight w:val="265"/>
        </w:trPr>
        <w:tc>
          <w:tcPr>
            <w:tcW w:w="844" w:type="dxa"/>
            <w:tcBorders>
              <w:top w:val="nil"/>
              <w:left w:val="single" w:sz="8" w:space="0" w:color="auto"/>
              <w:bottom w:val="single" w:sz="8" w:space="0" w:color="000000"/>
              <w:right w:val="single" w:sz="8" w:space="0" w:color="auto"/>
            </w:tcBorders>
            <w:shd w:val="clear" w:color="000000" w:fill="9BC2E6"/>
            <w:vAlign w:val="center"/>
            <w:hideMark/>
          </w:tcPr>
          <w:p w14:paraId="5DB2FDC6" w14:textId="77777777" w:rsidR="00425428" w:rsidRPr="00CF3958" w:rsidRDefault="00425428" w:rsidP="0042542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 </w:t>
            </w:r>
          </w:p>
        </w:tc>
        <w:tc>
          <w:tcPr>
            <w:tcW w:w="1425" w:type="dxa"/>
            <w:tcBorders>
              <w:top w:val="nil"/>
              <w:left w:val="nil"/>
              <w:bottom w:val="single" w:sz="8" w:space="0" w:color="000000"/>
              <w:right w:val="double" w:sz="6" w:space="0" w:color="auto"/>
            </w:tcBorders>
            <w:shd w:val="clear" w:color="000000" w:fill="9BC2E6"/>
            <w:vAlign w:val="center"/>
            <w:hideMark/>
          </w:tcPr>
          <w:p w14:paraId="36BE7C7B" w14:textId="77777777" w:rsidR="00425428" w:rsidRPr="00CF3958" w:rsidRDefault="00425428" w:rsidP="0042542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 </w:t>
            </w:r>
          </w:p>
        </w:tc>
        <w:tc>
          <w:tcPr>
            <w:tcW w:w="1415" w:type="dxa"/>
            <w:tcBorders>
              <w:top w:val="nil"/>
              <w:left w:val="nil"/>
              <w:bottom w:val="single" w:sz="8" w:space="0" w:color="auto"/>
              <w:right w:val="single" w:sz="8" w:space="0" w:color="auto"/>
            </w:tcBorders>
            <w:shd w:val="clear" w:color="000000" w:fill="9BC2E6"/>
            <w:vAlign w:val="center"/>
            <w:hideMark/>
          </w:tcPr>
          <w:p w14:paraId="44BA5592" w14:textId="5C0DB375" w:rsidR="00425428" w:rsidRPr="00CF3958" w:rsidRDefault="00425428" w:rsidP="00485B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r w:rsidR="00730ABE" w:rsidRPr="00CF3958">
              <w:rPr>
                <w:rFonts w:eastAsia="Times New Roman"/>
                <w:b/>
                <w:bCs/>
                <w:color w:val="000000"/>
                <w:sz w:val="20"/>
                <w:szCs w:val="20"/>
                <w:lang w:eastAsia="hr-HR"/>
              </w:rPr>
              <w:t>kn</w:t>
            </w:r>
            <w:r w:rsidRPr="00CF3958">
              <w:rPr>
                <w:rFonts w:eastAsia="Times New Roman"/>
                <w:b/>
                <w:bCs/>
                <w:color w:val="000000"/>
                <w:sz w:val="20"/>
                <w:szCs w:val="20"/>
                <w:lang w:eastAsia="hr-HR"/>
              </w:rPr>
              <w:t>)</w:t>
            </w:r>
          </w:p>
        </w:tc>
        <w:tc>
          <w:tcPr>
            <w:tcW w:w="1034" w:type="dxa"/>
            <w:tcBorders>
              <w:top w:val="nil"/>
              <w:left w:val="nil"/>
              <w:bottom w:val="single" w:sz="8" w:space="0" w:color="auto"/>
              <w:right w:val="single" w:sz="8" w:space="0" w:color="auto"/>
            </w:tcBorders>
            <w:shd w:val="clear" w:color="000000" w:fill="9BC2E6"/>
            <w:vAlign w:val="center"/>
            <w:hideMark/>
          </w:tcPr>
          <w:p w14:paraId="3B71A88B"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p>
        </w:tc>
        <w:tc>
          <w:tcPr>
            <w:tcW w:w="1415" w:type="dxa"/>
            <w:tcBorders>
              <w:top w:val="nil"/>
              <w:left w:val="nil"/>
              <w:bottom w:val="single" w:sz="8" w:space="0" w:color="auto"/>
              <w:right w:val="single" w:sz="8" w:space="0" w:color="auto"/>
            </w:tcBorders>
            <w:shd w:val="clear" w:color="000000" w:fill="9BC2E6"/>
            <w:vAlign w:val="center"/>
            <w:hideMark/>
          </w:tcPr>
          <w:p w14:paraId="125BA28F" w14:textId="6BE5409E"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r w:rsidR="00730ABE" w:rsidRPr="00CF3958">
              <w:rPr>
                <w:rFonts w:eastAsia="Times New Roman"/>
                <w:b/>
                <w:bCs/>
                <w:color w:val="000000"/>
                <w:sz w:val="20"/>
                <w:szCs w:val="20"/>
                <w:lang w:eastAsia="hr-HR"/>
              </w:rPr>
              <w:t>kn</w:t>
            </w:r>
            <w:r w:rsidRPr="00CF3958">
              <w:rPr>
                <w:rFonts w:eastAsia="Times New Roman"/>
                <w:b/>
                <w:bCs/>
                <w:color w:val="000000"/>
                <w:sz w:val="20"/>
                <w:szCs w:val="20"/>
                <w:lang w:eastAsia="hr-HR"/>
              </w:rPr>
              <w:t>)</w:t>
            </w:r>
          </w:p>
        </w:tc>
        <w:tc>
          <w:tcPr>
            <w:tcW w:w="1286" w:type="dxa"/>
            <w:tcBorders>
              <w:top w:val="nil"/>
              <w:left w:val="nil"/>
              <w:bottom w:val="single" w:sz="8" w:space="0" w:color="auto"/>
              <w:right w:val="single" w:sz="8" w:space="0" w:color="auto"/>
            </w:tcBorders>
            <w:shd w:val="clear" w:color="000000" w:fill="9BC2E6"/>
            <w:vAlign w:val="center"/>
            <w:hideMark/>
          </w:tcPr>
          <w:p w14:paraId="6077F50E" w14:textId="1CFA2602"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r w:rsidR="00730ABE" w:rsidRPr="00CF3958">
              <w:rPr>
                <w:rFonts w:eastAsia="Times New Roman"/>
                <w:b/>
                <w:bCs/>
                <w:color w:val="000000"/>
                <w:sz w:val="20"/>
                <w:szCs w:val="20"/>
                <w:lang w:eastAsia="hr-HR"/>
              </w:rPr>
              <w:t>kn</w:t>
            </w:r>
            <w:r w:rsidRPr="00CF3958">
              <w:rPr>
                <w:rFonts w:eastAsia="Times New Roman"/>
                <w:b/>
                <w:bCs/>
                <w:color w:val="000000"/>
                <w:sz w:val="20"/>
                <w:szCs w:val="20"/>
                <w:lang w:eastAsia="hr-HR"/>
              </w:rPr>
              <w:t>)</w:t>
            </w:r>
          </w:p>
        </w:tc>
        <w:tc>
          <w:tcPr>
            <w:tcW w:w="1201" w:type="dxa"/>
            <w:tcBorders>
              <w:top w:val="nil"/>
              <w:left w:val="nil"/>
              <w:bottom w:val="single" w:sz="8" w:space="0" w:color="auto"/>
              <w:right w:val="single" w:sz="8" w:space="0" w:color="auto"/>
            </w:tcBorders>
            <w:shd w:val="clear" w:color="000000" w:fill="9BC2E6"/>
            <w:vAlign w:val="center"/>
            <w:hideMark/>
          </w:tcPr>
          <w:p w14:paraId="75010142" w14:textId="2A035BDC"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r w:rsidR="00730ABE" w:rsidRPr="00CF3958">
              <w:rPr>
                <w:rFonts w:eastAsia="Times New Roman"/>
                <w:b/>
                <w:bCs/>
                <w:color w:val="000000"/>
                <w:sz w:val="20"/>
                <w:szCs w:val="20"/>
                <w:lang w:eastAsia="hr-HR"/>
              </w:rPr>
              <w:t>kn</w:t>
            </w:r>
            <w:r w:rsidRPr="00CF3958">
              <w:rPr>
                <w:rFonts w:eastAsia="Times New Roman"/>
                <w:b/>
                <w:bCs/>
                <w:color w:val="000000"/>
                <w:sz w:val="20"/>
                <w:szCs w:val="20"/>
                <w:lang w:eastAsia="hr-HR"/>
              </w:rPr>
              <w:t>)</w:t>
            </w:r>
          </w:p>
        </w:tc>
        <w:tc>
          <w:tcPr>
            <w:tcW w:w="1286" w:type="dxa"/>
            <w:tcBorders>
              <w:top w:val="nil"/>
              <w:left w:val="nil"/>
              <w:bottom w:val="single" w:sz="8" w:space="0" w:color="auto"/>
              <w:right w:val="single" w:sz="8" w:space="0" w:color="auto"/>
            </w:tcBorders>
            <w:shd w:val="clear" w:color="000000" w:fill="9BC2E6"/>
            <w:vAlign w:val="center"/>
            <w:hideMark/>
          </w:tcPr>
          <w:p w14:paraId="429A45C0" w14:textId="210E6863"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r w:rsidR="00730ABE" w:rsidRPr="00CF3958">
              <w:rPr>
                <w:rFonts w:eastAsia="Times New Roman"/>
                <w:b/>
                <w:bCs/>
                <w:color w:val="000000"/>
                <w:sz w:val="20"/>
                <w:szCs w:val="20"/>
                <w:lang w:eastAsia="hr-HR"/>
              </w:rPr>
              <w:t>kn</w:t>
            </w:r>
            <w:r w:rsidRPr="00CF3958">
              <w:rPr>
                <w:rFonts w:eastAsia="Times New Roman"/>
                <w:b/>
                <w:bCs/>
                <w:color w:val="000000"/>
                <w:sz w:val="20"/>
                <w:szCs w:val="20"/>
                <w:lang w:eastAsia="hr-HR"/>
              </w:rPr>
              <w:t>)</w:t>
            </w:r>
          </w:p>
        </w:tc>
        <w:tc>
          <w:tcPr>
            <w:tcW w:w="1709" w:type="dxa"/>
            <w:tcBorders>
              <w:top w:val="nil"/>
              <w:left w:val="nil"/>
              <w:bottom w:val="single" w:sz="8" w:space="0" w:color="auto"/>
              <w:right w:val="single" w:sz="8" w:space="0" w:color="auto"/>
            </w:tcBorders>
            <w:shd w:val="clear" w:color="000000" w:fill="9BC2E6"/>
            <w:vAlign w:val="center"/>
            <w:hideMark/>
          </w:tcPr>
          <w:p w14:paraId="3372AB7F" w14:textId="3E299892"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r w:rsidR="00730ABE" w:rsidRPr="00CF3958">
              <w:rPr>
                <w:rFonts w:eastAsia="Times New Roman"/>
                <w:b/>
                <w:bCs/>
                <w:color w:val="000000"/>
                <w:sz w:val="20"/>
                <w:szCs w:val="20"/>
                <w:lang w:eastAsia="hr-HR"/>
              </w:rPr>
              <w:t>kn</w:t>
            </w:r>
            <w:r w:rsidRPr="00CF3958">
              <w:rPr>
                <w:rFonts w:eastAsia="Times New Roman"/>
                <w:b/>
                <w:bCs/>
                <w:color w:val="000000"/>
                <w:sz w:val="20"/>
                <w:szCs w:val="20"/>
                <w:lang w:eastAsia="hr-HR"/>
              </w:rPr>
              <w:t>)</w:t>
            </w:r>
          </w:p>
        </w:tc>
        <w:tc>
          <w:tcPr>
            <w:tcW w:w="1072" w:type="dxa"/>
            <w:tcBorders>
              <w:top w:val="nil"/>
              <w:left w:val="nil"/>
              <w:bottom w:val="single" w:sz="8" w:space="0" w:color="auto"/>
              <w:right w:val="single" w:sz="8" w:space="0" w:color="auto"/>
            </w:tcBorders>
            <w:shd w:val="clear" w:color="000000" w:fill="9BC2E6"/>
            <w:vAlign w:val="center"/>
            <w:hideMark/>
          </w:tcPr>
          <w:p w14:paraId="5129EB52"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p>
        </w:tc>
        <w:tc>
          <w:tcPr>
            <w:tcW w:w="1286" w:type="dxa"/>
            <w:tcBorders>
              <w:top w:val="nil"/>
              <w:left w:val="nil"/>
              <w:bottom w:val="single" w:sz="8" w:space="0" w:color="auto"/>
              <w:right w:val="single" w:sz="8" w:space="0" w:color="auto"/>
            </w:tcBorders>
            <w:shd w:val="clear" w:color="000000" w:fill="9BC2E6"/>
            <w:vAlign w:val="center"/>
            <w:hideMark/>
          </w:tcPr>
          <w:p w14:paraId="50358DDE" w14:textId="0959DE26"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r w:rsidR="00730ABE" w:rsidRPr="00CF3958">
              <w:rPr>
                <w:rFonts w:eastAsia="Times New Roman"/>
                <w:b/>
                <w:bCs/>
                <w:color w:val="000000"/>
                <w:sz w:val="20"/>
                <w:szCs w:val="20"/>
                <w:lang w:eastAsia="hr-HR"/>
              </w:rPr>
              <w:t>kn</w:t>
            </w:r>
            <w:r w:rsidRPr="00CF3958">
              <w:rPr>
                <w:rFonts w:eastAsia="Times New Roman"/>
                <w:b/>
                <w:bCs/>
                <w:color w:val="000000"/>
                <w:sz w:val="20"/>
                <w:szCs w:val="20"/>
                <w:lang w:eastAsia="hr-HR"/>
              </w:rPr>
              <w:t>)</w:t>
            </w:r>
          </w:p>
        </w:tc>
        <w:tc>
          <w:tcPr>
            <w:tcW w:w="1415" w:type="dxa"/>
            <w:tcBorders>
              <w:top w:val="nil"/>
              <w:left w:val="nil"/>
              <w:bottom w:val="single" w:sz="8" w:space="0" w:color="auto"/>
              <w:right w:val="single" w:sz="8" w:space="0" w:color="auto"/>
            </w:tcBorders>
            <w:shd w:val="clear" w:color="000000" w:fill="9BC2E6"/>
            <w:vAlign w:val="center"/>
            <w:hideMark/>
          </w:tcPr>
          <w:p w14:paraId="319058C3" w14:textId="7DACC129"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w:t>
            </w:r>
            <w:r w:rsidR="00730ABE" w:rsidRPr="00CF3958">
              <w:rPr>
                <w:rFonts w:eastAsia="Times New Roman"/>
                <w:b/>
                <w:bCs/>
                <w:color w:val="000000"/>
                <w:sz w:val="20"/>
                <w:szCs w:val="20"/>
                <w:lang w:eastAsia="hr-HR"/>
              </w:rPr>
              <w:t>kn</w:t>
            </w:r>
            <w:r w:rsidRPr="00CF3958">
              <w:rPr>
                <w:rFonts w:eastAsia="Times New Roman"/>
                <w:b/>
                <w:bCs/>
                <w:color w:val="000000"/>
                <w:sz w:val="20"/>
                <w:szCs w:val="20"/>
                <w:lang w:eastAsia="hr-HR"/>
              </w:rPr>
              <w:t>)</w:t>
            </w:r>
          </w:p>
        </w:tc>
      </w:tr>
      <w:tr w:rsidR="000C1538" w:rsidRPr="00CF3958" w14:paraId="6123948C" w14:textId="77777777" w:rsidTr="000C1538">
        <w:trPr>
          <w:trHeight w:val="265"/>
        </w:trPr>
        <w:tc>
          <w:tcPr>
            <w:tcW w:w="844" w:type="dxa"/>
            <w:tcBorders>
              <w:top w:val="nil"/>
              <w:left w:val="single" w:sz="8" w:space="0" w:color="auto"/>
              <w:bottom w:val="single" w:sz="8" w:space="0" w:color="auto"/>
              <w:right w:val="single" w:sz="8" w:space="0" w:color="auto"/>
            </w:tcBorders>
            <w:shd w:val="clear" w:color="000000" w:fill="9BC2E6"/>
            <w:vAlign w:val="center"/>
            <w:hideMark/>
          </w:tcPr>
          <w:p w14:paraId="5AB08F29"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1</w:t>
            </w:r>
          </w:p>
        </w:tc>
        <w:tc>
          <w:tcPr>
            <w:tcW w:w="1425" w:type="dxa"/>
            <w:tcBorders>
              <w:top w:val="nil"/>
              <w:left w:val="nil"/>
              <w:bottom w:val="single" w:sz="8" w:space="0" w:color="auto"/>
              <w:right w:val="double" w:sz="6" w:space="0" w:color="auto"/>
            </w:tcBorders>
            <w:shd w:val="clear" w:color="000000" w:fill="9BC2E6"/>
            <w:vAlign w:val="center"/>
            <w:hideMark/>
          </w:tcPr>
          <w:p w14:paraId="4270EC7D"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2</w:t>
            </w:r>
          </w:p>
        </w:tc>
        <w:tc>
          <w:tcPr>
            <w:tcW w:w="1415" w:type="dxa"/>
            <w:tcBorders>
              <w:top w:val="nil"/>
              <w:left w:val="nil"/>
              <w:bottom w:val="single" w:sz="8" w:space="0" w:color="auto"/>
              <w:right w:val="single" w:sz="8" w:space="0" w:color="auto"/>
            </w:tcBorders>
            <w:shd w:val="clear" w:color="000000" w:fill="9BC2E6"/>
            <w:vAlign w:val="center"/>
            <w:hideMark/>
          </w:tcPr>
          <w:p w14:paraId="012D5407"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3</w:t>
            </w:r>
          </w:p>
        </w:tc>
        <w:tc>
          <w:tcPr>
            <w:tcW w:w="1034" w:type="dxa"/>
            <w:tcBorders>
              <w:top w:val="nil"/>
              <w:left w:val="nil"/>
              <w:bottom w:val="single" w:sz="8" w:space="0" w:color="auto"/>
              <w:right w:val="single" w:sz="8" w:space="0" w:color="auto"/>
            </w:tcBorders>
            <w:shd w:val="clear" w:color="000000" w:fill="9BC2E6"/>
            <w:vAlign w:val="center"/>
            <w:hideMark/>
          </w:tcPr>
          <w:p w14:paraId="42FD3123"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4</w:t>
            </w:r>
          </w:p>
        </w:tc>
        <w:tc>
          <w:tcPr>
            <w:tcW w:w="1415" w:type="dxa"/>
            <w:tcBorders>
              <w:top w:val="nil"/>
              <w:left w:val="nil"/>
              <w:bottom w:val="single" w:sz="8" w:space="0" w:color="auto"/>
              <w:right w:val="single" w:sz="8" w:space="0" w:color="auto"/>
            </w:tcBorders>
            <w:shd w:val="clear" w:color="000000" w:fill="9BC2E6"/>
            <w:vAlign w:val="center"/>
            <w:hideMark/>
          </w:tcPr>
          <w:p w14:paraId="0652E615"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5</w:t>
            </w:r>
          </w:p>
        </w:tc>
        <w:tc>
          <w:tcPr>
            <w:tcW w:w="1286" w:type="dxa"/>
            <w:tcBorders>
              <w:top w:val="nil"/>
              <w:left w:val="nil"/>
              <w:bottom w:val="single" w:sz="8" w:space="0" w:color="auto"/>
              <w:right w:val="single" w:sz="8" w:space="0" w:color="auto"/>
            </w:tcBorders>
            <w:shd w:val="clear" w:color="000000" w:fill="9BC2E6"/>
            <w:vAlign w:val="center"/>
            <w:hideMark/>
          </w:tcPr>
          <w:p w14:paraId="355174D1"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6</w:t>
            </w:r>
          </w:p>
        </w:tc>
        <w:tc>
          <w:tcPr>
            <w:tcW w:w="1201" w:type="dxa"/>
            <w:tcBorders>
              <w:top w:val="nil"/>
              <w:left w:val="nil"/>
              <w:bottom w:val="single" w:sz="8" w:space="0" w:color="auto"/>
              <w:right w:val="single" w:sz="8" w:space="0" w:color="auto"/>
            </w:tcBorders>
            <w:shd w:val="clear" w:color="000000" w:fill="9BC2E6"/>
            <w:vAlign w:val="center"/>
            <w:hideMark/>
          </w:tcPr>
          <w:p w14:paraId="10FB50D1"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7</w:t>
            </w:r>
          </w:p>
        </w:tc>
        <w:tc>
          <w:tcPr>
            <w:tcW w:w="1286" w:type="dxa"/>
            <w:tcBorders>
              <w:top w:val="nil"/>
              <w:left w:val="nil"/>
              <w:bottom w:val="single" w:sz="8" w:space="0" w:color="auto"/>
              <w:right w:val="single" w:sz="8" w:space="0" w:color="auto"/>
            </w:tcBorders>
            <w:shd w:val="clear" w:color="000000" w:fill="9BC2E6"/>
            <w:vAlign w:val="center"/>
            <w:hideMark/>
          </w:tcPr>
          <w:p w14:paraId="14582211"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8</w:t>
            </w:r>
          </w:p>
        </w:tc>
        <w:tc>
          <w:tcPr>
            <w:tcW w:w="1709" w:type="dxa"/>
            <w:tcBorders>
              <w:top w:val="nil"/>
              <w:left w:val="nil"/>
              <w:bottom w:val="single" w:sz="8" w:space="0" w:color="auto"/>
              <w:right w:val="single" w:sz="8" w:space="0" w:color="auto"/>
            </w:tcBorders>
            <w:shd w:val="clear" w:color="000000" w:fill="9BC2E6"/>
            <w:vAlign w:val="center"/>
            <w:hideMark/>
          </w:tcPr>
          <w:p w14:paraId="141FAC3D"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9</w:t>
            </w:r>
          </w:p>
        </w:tc>
        <w:tc>
          <w:tcPr>
            <w:tcW w:w="1072" w:type="dxa"/>
            <w:tcBorders>
              <w:top w:val="nil"/>
              <w:left w:val="nil"/>
              <w:bottom w:val="single" w:sz="8" w:space="0" w:color="auto"/>
              <w:right w:val="single" w:sz="8" w:space="0" w:color="auto"/>
            </w:tcBorders>
            <w:shd w:val="clear" w:color="000000" w:fill="9BC2E6"/>
            <w:vAlign w:val="center"/>
            <w:hideMark/>
          </w:tcPr>
          <w:p w14:paraId="1E1F4D45"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10</w:t>
            </w:r>
          </w:p>
        </w:tc>
        <w:tc>
          <w:tcPr>
            <w:tcW w:w="1286" w:type="dxa"/>
            <w:tcBorders>
              <w:top w:val="nil"/>
              <w:left w:val="nil"/>
              <w:bottom w:val="single" w:sz="8" w:space="0" w:color="auto"/>
              <w:right w:val="single" w:sz="8" w:space="0" w:color="auto"/>
            </w:tcBorders>
            <w:shd w:val="clear" w:color="000000" w:fill="9BC2E6"/>
            <w:vAlign w:val="center"/>
            <w:hideMark/>
          </w:tcPr>
          <w:p w14:paraId="31E410E1"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11</w:t>
            </w:r>
          </w:p>
        </w:tc>
        <w:tc>
          <w:tcPr>
            <w:tcW w:w="1415" w:type="dxa"/>
            <w:tcBorders>
              <w:top w:val="nil"/>
              <w:left w:val="nil"/>
              <w:bottom w:val="single" w:sz="8" w:space="0" w:color="auto"/>
              <w:right w:val="single" w:sz="8" w:space="0" w:color="auto"/>
            </w:tcBorders>
            <w:shd w:val="clear" w:color="000000" w:fill="9BC2E6"/>
            <w:vAlign w:val="center"/>
            <w:hideMark/>
          </w:tcPr>
          <w:p w14:paraId="15686627" w14:textId="77777777" w:rsidR="00425428" w:rsidRPr="00CF3958" w:rsidRDefault="00425428" w:rsidP="0042542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12</w:t>
            </w:r>
          </w:p>
        </w:tc>
      </w:tr>
      <w:tr w:rsidR="000C1538" w:rsidRPr="00D57D1F" w14:paraId="3F48EAD8" w14:textId="77777777" w:rsidTr="000C1538">
        <w:trPr>
          <w:trHeight w:val="519"/>
        </w:trPr>
        <w:tc>
          <w:tcPr>
            <w:tcW w:w="844" w:type="dxa"/>
            <w:tcBorders>
              <w:top w:val="nil"/>
              <w:left w:val="single" w:sz="8" w:space="0" w:color="auto"/>
              <w:bottom w:val="single" w:sz="8" w:space="0" w:color="auto"/>
              <w:right w:val="single" w:sz="8" w:space="0" w:color="auto"/>
            </w:tcBorders>
            <w:shd w:val="clear" w:color="000000" w:fill="DDEBF7"/>
            <w:noWrap/>
            <w:vAlign w:val="center"/>
            <w:hideMark/>
          </w:tcPr>
          <w:p w14:paraId="2D06A969"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OI</w:t>
            </w:r>
          </w:p>
        </w:tc>
        <w:tc>
          <w:tcPr>
            <w:tcW w:w="1425" w:type="dxa"/>
            <w:tcBorders>
              <w:top w:val="nil"/>
              <w:left w:val="nil"/>
              <w:bottom w:val="single" w:sz="8" w:space="0" w:color="auto"/>
              <w:right w:val="double" w:sz="6" w:space="0" w:color="auto"/>
            </w:tcBorders>
            <w:shd w:val="clear" w:color="000000" w:fill="DDEBF7"/>
            <w:vAlign w:val="center"/>
            <w:hideMark/>
          </w:tcPr>
          <w:p w14:paraId="739DDFDB" w14:textId="77777777" w:rsidR="000C1538" w:rsidRPr="00CF3958" w:rsidRDefault="000C1538" w:rsidP="000C1538">
            <w:pPr>
              <w:spacing w:after="0" w:line="240" w:lineRule="auto"/>
              <w:jc w:val="left"/>
              <w:rPr>
                <w:rFonts w:eastAsia="Times New Roman"/>
                <w:color w:val="000000"/>
                <w:sz w:val="20"/>
                <w:szCs w:val="20"/>
                <w:lang w:eastAsia="hr-HR"/>
              </w:rPr>
            </w:pPr>
            <w:r w:rsidRPr="00CF3958">
              <w:rPr>
                <w:rFonts w:eastAsia="Times New Roman"/>
                <w:color w:val="000000"/>
                <w:sz w:val="20"/>
                <w:szCs w:val="20"/>
                <w:lang w:eastAsia="hr-HR"/>
              </w:rPr>
              <w:t>Obnovljivi izvori energije</w:t>
            </w:r>
          </w:p>
        </w:tc>
        <w:tc>
          <w:tcPr>
            <w:tcW w:w="1415" w:type="dxa"/>
            <w:tcBorders>
              <w:top w:val="nil"/>
              <w:left w:val="nil"/>
              <w:bottom w:val="single" w:sz="8" w:space="0" w:color="auto"/>
              <w:right w:val="single" w:sz="8" w:space="0" w:color="auto"/>
            </w:tcBorders>
            <w:shd w:val="clear" w:color="000000" w:fill="DDEBF7"/>
            <w:noWrap/>
            <w:vAlign w:val="center"/>
            <w:hideMark/>
          </w:tcPr>
          <w:p w14:paraId="0AA1D60A"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165.000.000</w:t>
            </w:r>
          </w:p>
        </w:tc>
        <w:tc>
          <w:tcPr>
            <w:tcW w:w="1034" w:type="dxa"/>
            <w:tcBorders>
              <w:top w:val="nil"/>
              <w:left w:val="nil"/>
              <w:bottom w:val="single" w:sz="8" w:space="0" w:color="auto"/>
              <w:right w:val="double" w:sz="6" w:space="0" w:color="auto"/>
            </w:tcBorders>
            <w:shd w:val="clear" w:color="auto" w:fill="auto"/>
            <w:vAlign w:val="center"/>
            <w:hideMark/>
          </w:tcPr>
          <w:p w14:paraId="7D9CEC4F" w14:textId="1DADD459" w:rsidR="000C1538" w:rsidRPr="00CF3958" w:rsidRDefault="000C1538" w:rsidP="000C1538">
            <w:pPr>
              <w:spacing w:after="0" w:line="240" w:lineRule="auto"/>
              <w:jc w:val="center"/>
              <w:rPr>
                <w:rFonts w:eastAsia="Times New Roman"/>
                <w:color w:val="000000"/>
                <w:sz w:val="20"/>
                <w:szCs w:val="20"/>
                <w:lang w:eastAsia="hr-HR"/>
              </w:rPr>
            </w:pPr>
            <w:r w:rsidRPr="00CF3958">
              <w:rPr>
                <w:rFonts w:eastAsia="Times New Roman"/>
                <w:color w:val="000000"/>
                <w:sz w:val="20"/>
                <w:szCs w:val="20"/>
                <w:lang w:eastAsia="hr-HR"/>
              </w:rPr>
              <w:t>10,93 %</w:t>
            </w:r>
          </w:p>
        </w:tc>
        <w:tc>
          <w:tcPr>
            <w:tcW w:w="1415" w:type="dxa"/>
            <w:tcBorders>
              <w:top w:val="nil"/>
              <w:left w:val="nil"/>
              <w:bottom w:val="single" w:sz="8" w:space="0" w:color="auto"/>
              <w:right w:val="single" w:sz="8" w:space="0" w:color="auto"/>
            </w:tcBorders>
            <w:shd w:val="clear" w:color="auto" w:fill="auto"/>
            <w:noWrap/>
            <w:hideMark/>
          </w:tcPr>
          <w:p w14:paraId="08229920" w14:textId="1F7A6D97"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145.000.000</w:t>
            </w:r>
          </w:p>
        </w:tc>
        <w:tc>
          <w:tcPr>
            <w:tcW w:w="1286" w:type="dxa"/>
            <w:tcBorders>
              <w:top w:val="nil"/>
              <w:left w:val="nil"/>
              <w:bottom w:val="single" w:sz="8" w:space="0" w:color="auto"/>
              <w:right w:val="single" w:sz="8" w:space="0" w:color="auto"/>
            </w:tcBorders>
            <w:shd w:val="clear" w:color="auto" w:fill="auto"/>
            <w:noWrap/>
            <w:vAlign w:val="center"/>
            <w:hideMark/>
          </w:tcPr>
          <w:p w14:paraId="32590F02" w14:textId="19846846"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6.446.641,59</w:t>
            </w:r>
          </w:p>
        </w:tc>
        <w:tc>
          <w:tcPr>
            <w:tcW w:w="1201" w:type="dxa"/>
            <w:tcBorders>
              <w:top w:val="nil"/>
              <w:left w:val="nil"/>
              <w:bottom w:val="single" w:sz="8" w:space="0" w:color="auto"/>
              <w:right w:val="single" w:sz="8" w:space="0" w:color="auto"/>
            </w:tcBorders>
            <w:shd w:val="clear" w:color="auto" w:fill="auto"/>
            <w:noWrap/>
            <w:hideMark/>
          </w:tcPr>
          <w:p w14:paraId="1DA183EA" w14:textId="6C16D3DB" w:rsidR="000C1538" w:rsidRPr="00CF3958" w:rsidRDefault="000C1538" w:rsidP="000C1538">
            <w:pPr>
              <w:spacing w:after="0" w:line="240" w:lineRule="auto"/>
              <w:jc w:val="right"/>
              <w:rPr>
                <w:rFonts w:eastAsia="Times New Roman"/>
                <w:color w:val="000000"/>
                <w:sz w:val="20"/>
                <w:szCs w:val="20"/>
                <w:lang w:eastAsia="hr-HR"/>
              </w:rPr>
            </w:pPr>
            <w:r w:rsidRPr="000C1538">
              <w:rPr>
                <w:rFonts w:eastAsia="Times New Roman"/>
                <w:color w:val="000000"/>
                <w:sz w:val="20"/>
                <w:szCs w:val="20"/>
                <w:lang w:eastAsia="hr-HR"/>
              </w:rPr>
              <w:t>6.807.075,43</w:t>
            </w:r>
          </w:p>
        </w:tc>
        <w:tc>
          <w:tcPr>
            <w:tcW w:w="1286" w:type="dxa"/>
            <w:tcBorders>
              <w:top w:val="nil"/>
              <w:left w:val="nil"/>
              <w:bottom w:val="single" w:sz="8" w:space="0" w:color="auto"/>
              <w:right w:val="single" w:sz="8" w:space="0" w:color="auto"/>
            </w:tcBorders>
            <w:shd w:val="clear" w:color="auto" w:fill="auto"/>
            <w:noWrap/>
            <w:vAlign w:val="center"/>
            <w:hideMark/>
          </w:tcPr>
          <w:p w14:paraId="584E66B9"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26.548.658,77</w:t>
            </w:r>
          </w:p>
        </w:tc>
        <w:tc>
          <w:tcPr>
            <w:tcW w:w="1709" w:type="dxa"/>
            <w:tcBorders>
              <w:top w:val="nil"/>
              <w:left w:val="nil"/>
              <w:bottom w:val="single" w:sz="8" w:space="0" w:color="auto"/>
              <w:right w:val="single" w:sz="8" w:space="0" w:color="auto"/>
            </w:tcBorders>
            <w:shd w:val="clear" w:color="auto" w:fill="auto"/>
            <w:noWrap/>
            <w:vAlign w:val="center"/>
            <w:hideMark/>
          </w:tcPr>
          <w:p w14:paraId="52C7A252" w14:textId="07A0FA8F" w:rsidR="000C1538" w:rsidRPr="00CF3958" w:rsidRDefault="000C1538" w:rsidP="000C1538">
            <w:pPr>
              <w:spacing w:after="0" w:line="240" w:lineRule="auto"/>
              <w:jc w:val="right"/>
              <w:rPr>
                <w:rFonts w:eastAsia="Times New Roman"/>
                <w:color w:val="000000"/>
                <w:sz w:val="20"/>
                <w:szCs w:val="20"/>
                <w:lang w:eastAsia="hr-HR"/>
              </w:rPr>
            </w:pPr>
            <w:r w:rsidRPr="00D57D1F">
              <w:rPr>
                <w:rFonts w:eastAsia="Times New Roman"/>
                <w:color w:val="000000"/>
                <w:sz w:val="20"/>
                <w:szCs w:val="20"/>
                <w:lang w:eastAsia="hr-HR"/>
              </w:rPr>
              <w:t>39.802.375,79</w:t>
            </w:r>
          </w:p>
        </w:tc>
        <w:tc>
          <w:tcPr>
            <w:tcW w:w="1072" w:type="dxa"/>
            <w:tcBorders>
              <w:top w:val="nil"/>
              <w:left w:val="nil"/>
              <w:bottom w:val="single" w:sz="8" w:space="0" w:color="auto"/>
              <w:right w:val="single" w:sz="8" w:space="0" w:color="auto"/>
            </w:tcBorders>
            <w:shd w:val="clear" w:color="auto" w:fill="auto"/>
            <w:noWrap/>
            <w:vAlign w:val="center"/>
            <w:hideMark/>
          </w:tcPr>
          <w:p w14:paraId="4FAAF8D5"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6,22</w:t>
            </w:r>
          </w:p>
        </w:tc>
        <w:tc>
          <w:tcPr>
            <w:tcW w:w="1286" w:type="dxa"/>
            <w:tcBorders>
              <w:top w:val="nil"/>
              <w:left w:val="nil"/>
              <w:bottom w:val="single" w:sz="8" w:space="0" w:color="auto"/>
              <w:right w:val="single" w:sz="8" w:space="0" w:color="auto"/>
            </w:tcBorders>
            <w:shd w:val="clear" w:color="auto" w:fill="auto"/>
            <w:noWrap/>
            <w:vAlign w:val="center"/>
            <w:hideMark/>
          </w:tcPr>
          <w:p w14:paraId="6D18E36F"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63.822.576,74</w:t>
            </w:r>
          </w:p>
        </w:tc>
        <w:tc>
          <w:tcPr>
            <w:tcW w:w="1415" w:type="dxa"/>
            <w:tcBorders>
              <w:top w:val="nil"/>
              <w:left w:val="nil"/>
              <w:bottom w:val="single" w:sz="8" w:space="0" w:color="auto"/>
              <w:right w:val="single" w:sz="8" w:space="0" w:color="auto"/>
            </w:tcBorders>
            <w:shd w:val="clear" w:color="auto" w:fill="auto"/>
            <w:noWrap/>
            <w:vAlign w:val="center"/>
            <w:hideMark/>
          </w:tcPr>
          <w:p w14:paraId="6EDA1447"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103.624.952,51</w:t>
            </w:r>
          </w:p>
        </w:tc>
      </w:tr>
      <w:tr w:rsidR="000C1538" w:rsidRPr="00D57D1F" w14:paraId="2308E9C3" w14:textId="77777777" w:rsidTr="000C1538">
        <w:trPr>
          <w:trHeight w:val="774"/>
        </w:trPr>
        <w:tc>
          <w:tcPr>
            <w:tcW w:w="844" w:type="dxa"/>
            <w:tcBorders>
              <w:top w:val="nil"/>
              <w:left w:val="single" w:sz="8" w:space="0" w:color="auto"/>
              <w:bottom w:val="single" w:sz="8" w:space="0" w:color="auto"/>
              <w:right w:val="single" w:sz="8" w:space="0" w:color="auto"/>
            </w:tcBorders>
            <w:shd w:val="clear" w:color="000000" w:fill="DDEBF7"/>
            <w:noWrap/>
            <w:vAlign w:val="center"/>
            <w:hideMark/>
          </w:tcPr>
          <w:p w14:paraId="6B662E77"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ENU</w:t>
            </w:r>
          </w:p>
        </w:tc>
        <w:tc>
          <w:tcPr>
            <w:tcW w:w="1425" w:type="dxa"/>
            <w:tcBorders>
              <w:top w:val="nil"/>
              <w:left w:val="nil"/>
              <w:bottom w:val="single" w:sz="8" w:space="0" w:color="auto"/>
              <w:right w:val="double" w:sz="6" w:space="0" w:color="auto"/>
            </w:tcBorders>
            <w:shd w:val="clear" w:color="000000" w:fill="DDEBF7"/>
            <w:vAlign w:val="center"/>
            <w:hideMark/>
          </w:tcPr>
          <w:p w14:paraId="4A118ECE" w14:textId="77777777" w:rsidR="000C1538" w:rsidRPr="00CF3958" w:rsidRDefault="000C1538" w:rsidP="000C1538">
            <w:pPr>
              <w:spacing w:after="0" w:line="240" w:lineRule="auto"/>
              <w:jc w:val="left"/>
              <w:rPr>
                <w:rFonts w:eastAsia="Times New Roman"/>
                <w:color w:val="000000"/>
                <w:sz w:val="20"/>
                <w:szCs w:val="20"/>
                <w:lang w:eastAsia="hr-HR"/>
              </w:rPr>
            </w:pPr>
            <w:r w:rsidRPr="00CF3958">
              <w:rPr>
                <w:rFonts w:eastAsia="Times New Roman"/>
                <w:color w:val="000000"/>
                <w:sz w:val="20"/>
                <w:szCs w:val="20"/>
                <w:lang w:eastAsia="hr-HR"/>
              </w:rPr>
              <w:t>Energetska učinkovitost (bez sektora prometa)</w:t>
            </w:r>
          </w:p>
        </w:tc>
        <w:tc>
          <w:tcPr>
            <w:tcW w:w="1415" w:type="dxa"/>
            <w:tcBorders>
              <w:top w:val="nil"/>
              <w:left w:val="nil"/>
              <w:bottom w:val="single" w:sz="8" w:space="0" w:color="auto"/>
              <w:right w:val="single" w:sz="8" w:space="0" w:color="auto"/>
            </w:tcBorders>
            <w:shd w:val="clear" w:color="000000" w:fill="DDEBF7"/>
            <w:noWrap/>
            <w:vAlign w:val="center"/>
            <w:hideMark/>
          </w:tcPr>
          <w:p w14:paraId="1EA04D2E"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435.000.000</w:t>
            </w:r>
          </w:p>
        </w:tc>
        <w:tc>
          <w:tcPr>
            <w:tcW w:w="1034" w:type="dxa"/>
            <w:tcBorders>
              <w:top w:val="nil"/>
              <w:left w:val="nil"/>
              <w:bottom w:val="single" w:sz="8" w:space="0" w:color="auto"/>
              <w:right w:val="double" w:sz="6" w:space="0" w:color="auto"/>
            </w:tcBorders>
            <w:shd w:val="clear" w:color="auto" w:fill="auto"/>
            <w:vAlign w:val="center"/>
            <w:hideMark/>
          </w:tcPr>
          <w:p w14:paraId="06BD971C" w14:textId="33F7A94A" w:rsidR="000C1538" w:rsidRPr="00CF3958" w:rsidRDefault="000C1538" w:rsidP="000C1538">
            <w:pPr>
              <w:spacing w:after="0" w:line="240" w:lineRule="auto"/>
              <w:jc w:val="center"/>
              <w:rPr>
                <w:rFonts w:eastAsia="Times New Roman"/>
                <w:color w:val="000000"/>
                <w:sz w:val="20"/>
                <w:szCs w:val="20"/>
                <w:lang w:eastAsia="hr-HR"/>
              </w:rPr>
            </w:pPr>
            <w:r w:rsidRPr="00CF3958">
              <w:rPr>
                <w:rFonts w:eastAsia="Times New Roman"/>
                <w:color w:val="000000"/>
                <w:sz w:val="20"/>
                <w:szCs w:val="20"/>
                <w:lang w:eastAsia="hr-HR"/>
              </w:rPr>
              <w:t>28,81 %</w:t>
            </w:r>
          </w:p>
        </w:tc>
        <w:tc>
          <w:tcPr>
            <w:tcW w:w="1415" w:type="dxa"/>
            <w:tcBorders>
              <w:top w:val="nil"/>
              <w:left w:val="nil"/>
              <w:bottom w:val="single" w:sz="8" w:space="0" w:color="auto"/>
              <w:right w:val="single" w:sz="8" w:space="0" w:color="auto"/>
            </w:tcBorders>
            <w:shd w:val="clear" w:color="auto" w:fill="auto"/>
            <w:noWrap/>
            <w:hideMark/>
          </w:tcPr>
          <w:p w14:paraId="325AC5E5" w14:textId="235B77E8"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661.500.000</w:t>
            </w:r>
          </w:p>
        </w:tc>
        <w:tc>
          <w:tcPr>
            <w:tcW w:w="1286" w:type="dxa"/>
            <w:tcBorders>
              <w:top w:val="nil"/>
              <w:left w:val="nil"/>
              <w:bottom w:val="single" w:sz="8" w:space="0" w:color="auto"/>
              <w:right w:val="single" w:sz="8" w:space="0" w:color="auto"/>
            </w:tcBorders>
            <w:shd w:val="clear" w:color="auto" w:fill="auto"/>
            <w:noWrap/>
            <w:vAlign w:val="center"/>
            <w:hideMark/>
          </w:tcPr>
          <w:p w14:paraId="5F66A8EC" w14:textId="62205C9F"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159.195.835,95</w:t>
            </w:r>
          </w:p>
        </w:tc>
        <w:tc>
          <w:tcPr>
            <w:tcW w:w="1201" w:type="dxa"/>
            <w:tcBorders>
              <w:top w:val="nil"/>
              <w:left w:val="nil"/>
              <w:bottom w:val="single" w:sz="8" w:space="0" w:color="auto"/>
              <w:right w:val="single" w:sz="8" w:space="0" w:color="auto"/>
            </w:tcBorders>
            <w:shd w:val="clear" w:color="auto" w:fill="auto"/>
            <w:noWrap/>
            <w:hideMark/>
          </w:tcPr>
          <w:p w14:paraId="006B518F" w14:textId="69AD836F" w:rsidR="000C1538" w:rsidRPr="00CF3958" w:rsidRDefault="000C1538" w:rsidP="000C1538">
            <w:pPr>
              <w:spacing w:after="0" w:line="240" w:lineRule="auto"/>
              <w:jc w:val="right"/>
              <w:rPr>
                <w:rFonts w:eastAsia="Times New Roman"/>
                <w:color w:val="000000"/>
                <w:sz w:val="20"/>
                <w:szCs w:val="20"/>
                <w:lang w:eastAsia="hr-HR"/>
              </w:rPr>
            </w:pPr>
            <w:r w:rsidRPr="000C1538">
              <w:rPr>
                <w:rFonts w:eastAsia="Times New Roman"/>
                <w:color w:val="000000"/>
                <w:sz w:val="20"/>
                <w:szCs w:val="20"/>
                <w:lang w:eastAsia="hr-HR"/>
              </w:rPr>
              <w:t>57.601.582,13</w:t>
            </w:r>
          </w:p>
        </w:tc>
        <w:tc>
          <w:tcPr>
            <w:tcW w:w="1286" w:type="dxa"/>
            <w:tcBorders>
              <w:top w:val="nil"/>
              <w:left w:val="nil"/>
              <w:bottom w:val="single" w:sz="8" w:space="0" w:color="auto"/>
              <w:right w:val="single" w:sz="8" w:space="0" w:color="auto"/>
            </w:tcBorders>
            <w:shd w:val="clear" w:color="auto" w:fill="auto"/>
            <w:noWrap/>
            <w:vAlign w:val="center"/>
            <w:hideMark/>
          </w:tcPr>
          <w:p w14:paraId="30249D0A" w14:textId="4E0F33B9"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242.242.282,</w:t>
            </w:r>
            <w:r>
              <w:rPr>
                <w:rFonts w:eastAsia="Times New Roman"/>
                <w:color w:val="000000"/>
                <w:sz w:val="20"/>
                <w:szCs w:val="20"/>
                <w:lang w:eastAsia="hr-HR"/>
              </w:rPr>
              <w:t>48</w:t>
            </w:r>
          </w:p>
        </w:tc>
        <w:tc>
          <w:tcPr>
            <w:tcW w:w="1709" w:type="dxa"/>
            <w:tcBorders>
              <w:top w:val="nil"/>
              <w:left w:val="nil"/>
              <w:bottom w:val="single" w:sz="8" w:space="0" w:color="auto"/>
              <w:right w:val="single" w:sz="8" w:space="0" w:color="auto"/>
            </w:tcBorders>
            <w:shd w:val="clear" w:color="auto" w:fill="auto"/>
            <w:noWrap/>
            <w:vAlign w:val="center"/>
            <w:hideMark/>
          </w:tcPr>
          <w:p w14:paraId="07A9440E" w14:textId="01B75E3A" w:rsidR="000C1538" w:rsidRPr="00CF3958" w:rsidRDefault="000C1538" w:rsidP="000C1538">
            <w:pPr>
              <w:spacing w:after="0" w:line="240" w:lineRule="auto"/>
              <w:jc w:val="right"/>
              <w:rPr>
                <w:rFonts w:eastAsia="Times New Roman"/>
                <w:color w:val="000000"/>
                <w:sz w:val="20"/>
                <w:szCs w:val="20"/>
                <w:lang w:eastAsia="hr-HR"/>
              </w:rPr>
            </w:pPr>
            <w:r w:rsidRPr="00D57D1F">
              <w:rPr>
                <w:rFonts w:eastAsia="Times New Roman"/>
                <w:color w:val="000000"/>
                <w:sz w:val="20"/>
                <w:szCs w:val="20"/>
                <w:lang w:eastAsia="hr-HR"/>
              </w:rPr>
              <w:t>459.039.700,56</w:t>
            </w:r>
          </w:p>
        </w:tc>
        <w:tc>
          <w:tcPr>
            <w:tcW w:w="1072" w:type="dxa"/>
            <w:tcBorders>
              <w:top w:val="nil"/>
              <w:left w:val="nil"/>
              <w:bottom w:val="single" w:sz="8" w:space="0" w:color="auto"/>
              <w:right w:val="single" w:sz="8" w:space="0" w:color="auto"/>
            </w:tcBorders>
            <w:shd w:val="clear" w:color="auto" w:fill="auto"/>
            <w:noWrap/>
            <w:vAlign w:val="center"/>
            <w:hideMark/>
          </w:tcPr>
          <w:p w14:paraId="03A48DA4"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71,74</w:t>
            </w:r>
          </w:p>
        </w:tc>
        <w:tc>
          <w:tcPr>
            <w:tcW w:w="1286" w:type="dxa"/>
            <w:tcBorders>
              <w:top w:val="nil"/>
              <w:left w:val="nil"/>
              <w:bottom w:val="single" w:sz="8" w:space="0" w:color="auto"/>
              <w:right w:val="single" w:sz="8" w:space="0" w:color="auto"/>
            </w:tcBorders>
            <w:shd w:val="clear" w:color="auto" w:fill="auto"/>
            <w:noWrap/>
            <w:vAlign w:val="center"/>
            <w:hideMark/>
          </w:tcPr>
          <w:p w14:paraId="5ADA7F6A"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261.622.735,29</w:t>
            </w:r>
          </w:p>
        </w:tc>
        <w:tc>
          <w:tcPr>
            <w:tcW w:w="1415" w:type="dxa"/>
            <w:tcBorders>
              <w:top w:val="nil"/>
              <w:left w:val="nil"/>
              <w:bottom w:val="single" w:sz="8" w:space="0" w:color="auto"/>
              <w:right w:val="single" w:sz="8" w:space="0" w:color="auto"/>
            </w:tcBorders>
            <w:shd w:val="clear" w:color="auto" w:fill="auto"/>
            <w:noWrap/>
            <w:vAlign w:val="center"/>
            <w:hideMark/>
          </w:tcPr>
          <w:p w14:paraId="0B56FBDC"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720.662.435,27</w:t>
            </w:r>
          </w:p>
        </w:tc>
      </w:tr>
      <w:tr w:rsidR="000C1538" w:rsidRPr="00D57D1F" w14:paraId="18FC8650" w14:textId="77777777" w:rsidTr="000C1538">
        <w:trPr>
          <w:trHeight w:val="519"/>
        </w:trPr>
        <w:tc>
          <w:tcPr>
            <w:tcW w:w="844" w:type="dxa"/>
            <w:tcBorders>
              <w:top w:val="nil"/>
              <w:left w:val="single" w:sz="8" w:space="0" w:color="auto"/>
              <w:bottom w:val="single" w:sz="8" w:space="0" w:color="auto"/>
              <w:right w:val="single" w:sz="8" w:space="0" w:color="auto"/>
            </w:tcBorders>
            <w:shd w:val="clear" w:color="000000" w:fill="DDEBF7"/>
            <w:noWrap/>
            <w:vAlign w:val="center"/>
            <w:hideMark/>
          </w:tcPr>
          <w:p w14:paraId="27FC9237"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ENS</w:t>
            </w:r>
          </w:p>
        </w:tc>
        <w:tc>
          <w:tcPr>
            <w:tcW w:w="1425" w:type="dxa"/>
            <w:tcBorders>
              <w:top w:val="nil"/>
              <w:left w:val="nil"/>
              <w:bottom w:val="single" w:sz="8" w:space="0" w:color="auto"/>
              <w:right w:val="double" w:sz="6" w:space="0" w:color="auto"/>
            </w:tcBorders>
            <w:shd w:val="clear" w:color="000000" w:fill="DDEBF7"/>
            <w:vAlign w:val="center"/>
            <w:hideMark/>
          </w:tcPr>
          <w:p w14:paraId="1F82208C" w14:textId="77777777" w:rsidR="000C1538" w:rsidRPr="00CF3958" w:rsidRDefault="000C1538" w:rsidP="000C1538">
            <w:pPr>
              <w:spacing w:after="0" w:line="240" w:lineRule="auto"/>
              <w:jc w:val="left"/>
              <w:rPr>
                <w:rFonts w:eastAsia="Times New Roman"/>
                <w:color w:val="000000"/>
                <w:sz w:val="20"/>
                <w:szCs w:val="20"/>
                <w:lang w:eastAsia="hr-HR"/>
              </w:rPr>
            </w:pPr>
            <w:r w:rsidRPr="00CF3958">
              <w:rPr>
                <w:rFonts w:eastAsia="Times New Roman"/>
                <w:color w:val="000000"/>
                <w:sz w:val="20"/>
                <w:szCs w:val="20"/>
                <w:lang w:eastAsia="hr-HR"/>
              </w:rPr>
              <w:t>Ukupno energetsko siromaštvo</w:t>
            </w:r>
          </w:p>
        </w:tc>
        <w:tc>
          <w:tcPr>
            <w:tcW w:w="1415" w:type="dxa"/>
            <w:tcBorders>
              <w:top w:val="nil"/>
              <w:left w:val="nil"/>
              <w:bottom w:val="single" w:sz="8" w:space="0" w:color="auto"/>
              <w:right w:val="single" w:sz="8" w:space="0" w:color="auto"/>
            </w:tcBorders>
            <w:shd w:val="clear" w:color="000000" w:fill="DDEBF7"/>
            <w:noWrap/>
            <w:vAlign w:val="center"/>
            <w:hideMark/>
          </w:tcPr>
          <w:p w14:paraId="5E276928"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40.000.000</w:t>
            </w:r>
          </w:p>
        </w:tc>
        <w:tc>
          <w:tcPr>
            <w:tcW w:w="1034" w:type="dxa"/>
            <w:tcBorders>
              <w:top w:val="nil"/>
              <w:left w:val="nil"/>
              <w:bottom w:val="single" w:sz="8" w:space="0" w:color="auto"/>
              <w:right w:val="double" w:sz="6" w:space="0" w:color="auto"/>
            </w:tcBorders>
            <w:shd w:val="clear" w:color="auto" w:fill="auto"/>
            <w:vAlign w:val="center"/>
            <w:hideMark/>
          </w:tcPr>
          <w:p w14:paraId="28FA1C9E" w14:textId="178B8FA6" w:rsidR="000C1538" w:rsidRPr="00CF3958" w:rsidRDefault="000C1538" w:rsidP="000C1538">
            <w:pPr>
              <w:spacing w:after="0" w:line="240" w:lineRule="auto"/>
              <w:jc w:val="center"/>
              <w:rPr>
                <w:rFonts w:eastAsia="Times New Roman"/>
                <w:color w:val="000000"/>
                <w:sz w:val="20"/>
                <w:szCs w:val="20"/>
                <w:lang w:eastAsia="hr-HR"/>
              </w:rPr>
            </w:pPr>
            <w:r w:rsidRPr="00CF3958">
              <w:rPr>
                <w:rFonts w:eastAsia="Times New Roman"/>
                <w:color w:val="000000"/>
                <w:sz w:val="20"/>
                <w:szCs w:val="20"/>
                <w:lang w:eastAsia="hr-HR"/>
              </w:rPr>
              <w:t>2,65 %</w:t>
            </w:r>
          </w:p>
        </w:tc>
        <w:tc>
          <w:tcPr>
            <w:tcW w:w="1415" w:type="dxa"/>
            <w:tcBorders>
              <w:top w:val="nil"/>
              <w:left w:val="nil"/>
              <w:bottom w:val="single" w:sz="8" w:space="0" w:color="auto"/>
              <w:right w:val="single" w:sz="8" w:space="0" w:color="auto"/>
            </w:tcBorders>
            <w:shd w:val="clear" w:color="auto" w:fill="auto"/>
            <w:noWrap/>
            <w:hideMark/>
          </w:tcPr>
          <w:p w14:paraId="1E28A142" w14:textId="19AF2ECC"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40.000.000</w:t>
            </w:r>
          </w:p>
        </w:tc>
        <w:tc>
          <w:tcPr>
            <w:tcW w:w="1286" w:type="dxa"/>
            <w:tcBorders>
              <w:top w:val="nil"/>
              <w:left w:val="nil"/>
              <w:bottom w:val="single" w:sz="8" w:space="0" w:color="auto"/>
              <w:right w:val="single" w:sz="8" w:space="0" w:color="auto"/>
            </w:tcBorders>
            <w:shd w:val="clear" w:color="auto" w:fill="auto"/>
            <w:noWrap/>
            <w:vAlign w:val="center"/>
            <w:hideMark/>
          </w:tcPr>
          <w:p w14:paraId="17BF1BDF"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0</w:t>
            </w:r>
          </w:p>
        </w:tc>
        <w:tc>
          <w:tcPr>
            <w:tcW w:w="1201" w:type="dxa"/>
            <w:tcBorders>
              <w:top w:val="nil"/>
              <w:left w:val="nil"/>
              <w:bottom w:val="single" w:sz="8" w:space="0" w:color="auto"/>
              <w:right w:val="single" w:sz="8" w:space="0" w:color="auto"/>
            </w:tcBorders>
            <w:shd w:val="clear" w:color="auto" w:fill="auto"/>
            <w:noWrap/>
            <w:hideMark/>
          </w:tcPr>
          <w:p w14:paraId="199D0B03" w14:textId="27C1C5CC" w:rsidR="000C1538" w:rsidRPr="00CF3958" w:rsidRDefault="000C1538" w:rsidP="000C1538">
            <w:pPr>
              <w:spacing w:after="0" w:line="240" w:lineRule="auto"/>
              <w:jc w:val="right"/>
              <w:rPr>
                <w:rFonts w:eastAsia="Times New Roman"/>
                <w:color w:val="000000"/>
                <w:sz w:val="20"/>
                <w:szCs w:val="20"/>
                <w:lang w:eastAsia="hr-HR"/>
              </w:rPr>
            </w:pPr>
            <w:r w:rsidRPr="000C1538">
              <w:rPr>
                <w:rFonts w:eastAsia="Times New Roman"/>
                <w:color w:val="000000"/>
                <w:sz w:val="20"/>
                <w:szCs w:val="20"/>
                <w:lang w:eastAsia="hr-HR"/>
              </w:rPr>
              <w:t>0,00</w:t>
            </w:r>
          </w:p>
        </w:tc>
        <w:tc>
          <w:tcPr>
            <w:tcW w:w="1286" w:type="dxa"/>
            <w:tcBorders>
              <w:top w:val="nil"/>
              <w:left w:val="nil"/>
              <w:bottom w:val="single" w:sz="8" w:space="0" w:color="auto"/>
              <w:right w:val="single" w:sz="8" w:space="0" w:color="auto"/>
            </w:tcBorders>
            <w:shd w:val="clear" w:color="auto" w:fill="auto"/>
            <w:noWrap/>
            <w:vAlign w:val="center"/>
            <w:hideMark/>
          </w:tcPr>
          <w:p w14:paraId="38BC3321"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25.500,00</w:t>
            </w:r>
          </w:p>
        </w:tc>
        <w:tc>
          <w:tcPr>
            <w:tcW w:w="1709" w:type="dxa"/>
            <w:tcBorders>
              <w:top w:val="nil"/>
              <w:left w:val="nil"/>
              <w:bottom w:val="single" w:sz="8" w:space="0" w:color="auto"/>
              <w:right w:val="single" w:sz="8" w:space="0" w:color="auto"/>
            </w:tcBorders>
            <w:shd w:val="clear" w:color="auto" w:fill="auto"/>
            <w:noWrap/>
            <w:vAlign w:val="center"/>
            <w:hideMark/>
          </w:tcPr>
          <w:p w14:paraId="270245F1" w14:textId="79185A4D" w:rsidR="000C1538" w:rsidRPr="00CF3958" w:rsidRDefault="000C1538" w:rsidP="000C1538">
            <w:pPr>
              <w:spacing w:after="0" w:line="240" w:lineRule="auto"/>
              <w:jc w:val="right"/>
              <w:rPr>
                <w:rFonts w:eastAsia="Times New Roman"/>
                <w:color w:val="000000"/>
                <w:sz w:val="20"/>
                <w:szCs w:val="20"/>
                <w:lang w:eastAsia="hr-HR"/>
              </w:rPr>
            </w:pPr>
            <w:r w:rsidRPr="00D57D1F">
              <w:rPr>
                <w:rFonts w:eastAsia="Times New Roman"/>
                <w:color w:val="000000"/>
                <w:sz w:val="20"/>
                <w:szCs w:val="20"/>
                <w:lang w:eastAsia="hr-HR"/>
              </w:rPr>
              <w:t>25.500,00</w:t>
            </w:r>
          </w:p>
        </w:tc>
        <w:tc>
          <w:tcPr>
            <w:tcW w:w="1072" w:type="dxa"/>
            <w:tcBorders>
              <w:top w:val="nil"/>
              <w:left w:val="nil"/>
              <w:bottom w:val="single" w:sz="8" w:space="0" w:color="auto"/>
              <w:right w:val="single" w:sz="8" w:space="0" w:color="auto"/>
            </w:tcBorders>
            <w:shd w:val="clear" w:color="auto" w:fill="auto"/>
            <w:noWrap/>
            <w:vAlign w:val="center"/>
            <w:hideMark/>
          </w:tcPr>
          <w:p w14:paraId="1D41F6EF"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0,00</w:t>
            </w:r>
          </w:p>
        </w:tc>
        <w:tc>
          <w:tcPr>
            <w:tcW w:w="1286" w:type="dxa"/>
            <w:tcBorders>
              <w:top w:val="nil"/>
              <w:left w:val="nil"/>
              <w:bottom w:val="single" w:sz="8" w:space="0" w:color="auto"/>
              <w:right w:val="single" w:sz="8" w:space="0" w:color="auto"/>
            </w:tcBorders>
            <w:shd w:val="clear" w:color="auto" w:fill="auto"/>
            <w:noWrap/>
            <w:vAlign w:val="center"/>
            <w:hideMark/>
          </w:tcPr>
          <w:p w14:paraId="06AAF423"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13.298.685,54</w:t>
            </w:r>
          </w:p>
        </w:tc>
        <w:tc>
          <w:tcPr>
            <w:tcW w:w="1415" w:type="dxa"/>
            <w:tcBorders>
              <w:top w:val="nil"/>
              <w:left w:val="nil"/>
              <w:bottom w:val="single" w:sz="8" w:space="0" w:color="auto"/>
              <w:right w:val="single" w:sz="8" w:space="0" w:color="auto"/>
            </w:tcBorders>
            <w:shd w:val="clear" w:color="auto" w:fill="auto"/>
            <w:noWrap/>
            <w:vAlign w:val="center"/>
            <w:hideMark/>
          </w:tcPr>
          <w:p w14:paraId="676496DD"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13.324.185,54</w:t>
            </w:r>
          </w:p>
        </w:tc>
      </w:tr>
      <w:tr w:rsidR="000C1538" w:rsidRPr="00D57D1F" w14:paraId="0CB35594" w14:textId="77777777" w:rsidTr="000C1538">
        <w:trPr>
          <w:trHeight w:val="265"/>
        </w:trPr>
        <w:tc>
          <w:tcPr>
            <w:tcW w:w="844" w:type="dxa"/>
            <w:tcBorders>
              <w:top w:val="nil"/>
              <w:left w:val="single" w:sz="8" w:space="0" w:color="auto"/>
              <w:bottom w:val="single" w:sz="8" w:space="0" w:color="auto"/>
              <w:right w:val="single" w:sz="8" w:space="0" w:color="auto"/>
            </w:tcBorders>
            <w:shd w:val="clear" w:color="000000" w:fill="DDEBF7"/>
            <w:noWrap/>
            <w:vAlign w:val="center"/>
            <w:hideMark/>
          </w:tcPr>
          <w:p w14:paraId="2AB95F5D"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PR</w:t>
            </w:r>
          </w:p>
        </w:tc>
        <w:tc>
          <w:tcPr>
            <w:tcW w:w="1425" w:type="dxa"/>
            <w:tcBorders>
              <w:top w:val="nil"/>
              <w:left w:val="nil"/>
              <w:bottom w:val="single" w:sz="8" w:space="0" w:color="auto"/>
              <w:right w:val="double" w:sz="6" w:space="0" w:color="auto"/>
            </w:tcBorders>
            <w:shd w:val="clear" w:color="000000" w:fill="DDEBF7"/>
            <w:vAlign w:val="center"/>
            <w:hideMark/>
          </w:tcPr>
          <w:p w14:paraId="248C4462" w14:textId="77777777" w:rsidR="000C1538" w:rsidRPr="00CF3958" w:rsidRDefault="000C1538" w:rsidP="000C1538">
            <w:pPr>
              <w:spacing w:after="0" w:line="240" w:lineRule="auto"/>
              <w:jc w:val="left"/>
              <w:rPr>
                <w:rFonts w:eastAsia="Times New Roman"/>
                <w:color w:val="000000"/>
                <w:sz w:val="20"/>
                <w:szCs w:val="20"/>
                <w:lang w:eastAsia="hr-HR"/>
              </w:rPr>
            </w:pPr>
            <w:r w:rsidRPr="00CF3958">
              <w:rPr>
                <w:rFonts w:eastAsia="Times New Roman"/>
                <w:color w:val="000000"/>
                <w:sz w:val="20"/>
                <w:szCs w:val="20"/>
                <w:lang w:eastAsia="hr-HR"/>
              </w:rPr>
              <w:t>Promet</w:t>
            </w:r>
          </w:p>
        </w:tc>
        <w:tc>
          <w:tcPr>
            <w:tcW w:w="1415" w:type="dxa"/>
            <w:tcBorders>
              <w:top w:val="nil"/>
              <w:left w:val="nil"/>
              <w:bottom w:val="single" w:sz="8" w:space="0" w:color="auto"/>
              <w:right w:val="single" w:sz="8" w:space="0" w:color="auto"/>
            </w:tcBorders>
            <w:shd w:val="clear" w:color="000000" w:fill="DDEBF7"/>
            <w:noWrap/>
            <w:vAlign w:val="center"/>
            <w:hideMark/>
          </w:tcPr>
          <w:p w14:paraId="34283606"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116.000.000</w:t>
            </w:r>
          </w:p>
        </w:tc>
        <w:tc>
          <w:tcPr>
            <w:tcW w:w="1034" w:type="dxa"/>
            <w:tcBorders>
              <w:top w:val="nil"/>
              <w:left w:val="nil"/>
              <w:bottom w:val="single" w:sz="8" w:space="0" w:color="auto"/>
              <w:right w:val="double" w:sz="6" w:space="0" w:color="auto"/>
            </w:tcBorders>
            <w:shd w:val="clear" w:color="auto" w:fill="auto"/>
            <w:vAlign w:val="center"/>
            <w:hideMark/>
          </w:tcPr>
          <w:p w14:paraId="05AD5688" w14:textId="40527DAE" w:rsidR="000C1538" w:rsidRPr="00CF3958" w:rsidRDefault="000C1538" w:rsidP="000C1538">
            <w:pPr>
              <w:spacing w:after="0" w:line="240" w:lineRule="auto"/>
              <w:jc w:val="center"/>
              <w:rPr>
                <w:rFonts w:eastAsia="Times New Roman"/>
                <w:color w:val="000000"/>
                <w:sz w:val="20"/>
                <w:szCs w:val="20"/>
                <w:lang w:eastAsia="hr-HR"/>
              </w:rPr>
            </w:pPr>
            <w:r w:rsidRPr="00CF3958">
              <w:rPr>
                <w:rFonts w:eastAsia="Times New Roman"/>
                <w:color w:val="000000"/>
                <w:sz w:val="20"/>
                <w:szCs w:val="20"/>
                <w:lang w:eastAsia="hr-HR"/>
              </w:rPr>
              <w:t>7,68 %</w:t>
            </w:r>
          </w:p>
        </w:tc>
        <w:tc>
          <w:tcPr>
            <w:tcW w:w="1415" w:type="dxa"/>
            <w:tcBorders>
              <w:top w:val="nil"/>
              <w:left w:val="nil"/>
              <w:bottom w:val="single" w:sz="8" w:space="0" w:color="auto"/>
              <w:right w:val="single" w:sz="8" w:space="0" w:color="auto"/>
            </w:tcBorders>
            <w:shd w:val="clear" w:color="auto" w:fill="auto"/>
            <w:noWrap/>
            <w:hideMark/>
          </w:tcPr>
          <w:p w14:paraId="65DD446B" w14:textId="3A9FB860"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16.000.000</w:t>
            </w:r>
          </w:p>
        </w:tc>
        <w:tc>
          <w:tcPr>
            <w:tcW w:w="1286" w:type="dxa"/>
            <w:tcBorders>
              <w:top w:val="nil"/>
              <w:left w:val="nil"/>
              <w:bottom w:val="single" w:sz="8" w:space="0" w:color="auto"/>
              <w:right w:val="single" w:sz="8" w:space="0" w:color="auto"/>
            </w:tcBorders>
            <w:shd w:val="clear" w:color="auto" w:fill="auto"/>
            <w:noWrap/>
            <w:vAlign w:val="center"/>
            <w:hideMark/>
          </w:tcPr>
          <w:p w14:paraId="7496B2BB" w14:textId="48614641"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15.192.899,70</w:t>
            </w:r>
          </w:p>
        </w:tc>
        <w:tc>
          <w:tcPr>
            <w:tcW w:w="1201" w:type="dxa"/>
            <w:tcBorders>
              <w:top w:val="nil"/>
              <w:left w:val="nil"/>
              <w:bottom w:val="single" w:sz="8" w:space="0" w:color="auto"/>
              <w:right w:val="single" w:sz="8" w:space="0" w:color="auto"/>
            </w:tcBorders>
            <w:shd w:val="clear" w:color="auto" w:fill="auto"/>
            <w:noWrap/>
            <w:hideMark/>
          </w:tcPr>
          <w:p w14:paraId="5453A56C" w14:textId="2C316AAB" w:rsidR="000C1538" w:rsidRPr="00CF3958" w:rsidRDefault="000C1538" w:rsidP="000C1538">
            <w:pPr>
              <w:spacing w:after="0" w:line="240" w:lineRule="auto"/>
              <w:jc w:val="right"/>
              <w:rPr>
                <w:rFonts w:eastAsia="Times New Roman"/>
                <w:color w:val="000000"/>
                <w:sz w:val="20"/>
                <w:szCs w:val="20"/>
                <w:lang w:eastAsia="hr-HR"/>
              </w:rPr>
            </w:pPr>
            <w:r w:rsidRPr="000C1538">
              <w:rPr>
                <w:rFonts w:eastAsia="Times New Roman"/>
                <w:color w:val="000000"/>
                <w:sz w:val="20"/>
                <w:szCs w:val="20"/>
                <w:lang w:eastAsia="hr-HR"/>
              </w:rPr>
              <w:t>82.139,78</w:t>
            </w:r>
          </w:p>
        </w:tc>
        <w:tc>
          <w:tcPr>
            <w:tcW w:w="1286" w:type="dxa"/>
            <w:tcBorders>
              <w:top w:val="nil"/>
              <w:left w:val="nil"/>
              <w:bottom w:val="single" w:sz="8" w:space="0" w:color="auto"/>
              <w:right w:val="single" w:sz="8" w:space="0" w:color="auto"/>
            </w:tcBorders>
            <w:shd w:val="clear" w:color="auto" w:fill="auto"/>
            <w:noWrap/>
            <w:vAlign w:val="center"/>
            <w:hideMark/>
          </w:tcPr>
          <w:p w14:paraId="27FDF2E2"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125.737,48</w:t>
            </w:r>
          </w:p>
        </w:tc>
        <w:tc>
          <w:tcPr>
            <w:tcW w:w="1709" w:type="dxa"/>
            <w:tcBorders>
              <w:top w:val="nil"/>
              <w:left w:val="nil"/>
              <w:bottom w:val="single" w:sz="8" w:space="0" w:color="auto"/>
              <w:right w:val="single" w:sz="8" w:space="0" w:color="auto"/>
            </w:tcBorders>
            <w:shd w:val="clear" w:color="auto" w:fill="auto"/>
            <w:noWrap/>
            <w:vAlign w:val="center"/>
            <w:hideMark/>
          </w:tcPr>
          <w:p w14:paraId="545B88FD" w14:textId="56D10CB8" w:rsidR="000C1538" w:rsidRPr="00CF3958" w:rsidRDefault="000C1538" w:rsidP="000C1538">
            <w:pPr>
              <w:spacing w:after="0" w:line="240" w:lineRule="auto"/>
              <w:jc w:val="right"/>
              <w:rPr>
                <w:rFonts w:eastAsia="Times New Roman"/>
                <w:color w:val="000000"/>
                <w:sz w:val="20"/>
                <w:szCs w:val="20"/>
                <w:lang w:eastAsia="hr-HR"/>
              </w:rPr>
            </w:pPr>
            <w:r w:rsidRPr="00D57D1F">
              <w:rPr>
                <w:rFonts w:eastAsia="Times New Roman"/>
                <w:color w:val="000000"/>
                <w:sz w:val="20"/>
                <w:szCs w:val="20"/>
                <w:lang w:eastAsia="hr-HR"/>
              </w:rPr>
              <w:t>15.400.776,96</w:t>
            </w:r>
          </w:p>
        </w:tc>
        <w:tc>
          <w:tcPr>
            <w:tcW w:w="1072" w:type="dxa"/>
            <w:tcBorders>
              <w:top w:val="nil"/>
              <w:left w:val="nil"/>
              <w:bottom w:val="single" w:sz="8" w:space="0" w:color="auto"/>
              <w:right w:val="single" w:sz="8" w:space="0" w:color="auto"/>
            </w:tcBorders>
            <w:shd w:val="clear" w:color="auto" w:fill="auto"/>
            <w:noWrap/>
            <w:vAlign w:val="center"/>
            <w:hideMark/>
          </w:tcPr>
          <w:p w14:paraId="56A33749"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2,41</w:t>
            </w:r>
          </w:p>
        </w:tc>
        <w:tc>
          <w:tcPr>
            <w:tcW w:w="1286" w:type="dxa"/>
            <w:tcBorders>
              <w:top w:val="nil"/>
              <w:left w:val="nil"/>
              <w:bottom w:val="single" w:sz="8" w:space="0" w:color="auto"/>
              <w:right w:val="single" w:sz="8" w:space="0" w:color="auto"/>
            </w:tcBorders>
            <w:shd w:val="clear" w:color="auto" w:fill="auto"/>
            <w:noWrap/>
            <w:vAlign w:val="center"/>
            <w:hideMark/>
          </w:tcPr>
          <w:p w14:paraId="4E8CE281"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430.581,85</w:t>
            </w:r>
          </w:p>
        </w:tc>
        <w:tc>
          <w:tcPr>
            <w:tcW w:w="1415" w:type="dxa"/>
            <w:tcBorders>
              <w:top w:val="nil"/>
              <w:left w:val="nil"/>
              <w:bottom w:val="single" w:sz="8" w:space="0" w:color="auto"/>
              <w:right w:val="single" w:sz="8" w:space="0" w:color="auto"/>
            </w:tcBorders>
            <w:shd w:val="clear" w:color="auto" w:fill="auto"/>
            <w:noWrap/>
            <w:vAlign w:val="center"/>
            <w:hideMark/>
          </w:tcPr>
          <w:p w14:paraId="0DDA59CA"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15.831.359,33</w:t>
            </w:r>
          </w:p>
        </w:tc>
      </w:tr>
      <w:tr w:rsidR="000C1538" w:rsidRPr="00D57D1F" w14:paraId="2AFFD33A" w14:textId="77777777" w:rsidTr="000C1538">
        <w:trPr>
          <w:trHeight w:val="1028"/>
        </w:trPr>
        <w:tc>
          <w:tcPr>
            <w:tcW w:w="844" w:type="dxa"/>
            <w:tcBorders>
              <w:top w:val="nil"/>
              <w:left w:val="single" w:sz="8" w:space="0" w:color="auto"/>
              <w:bottom w:val="single" w:sz="8" w:space="0" w:color="auto"/>
              <w:right w:val="single" w:sz="8" w:space="0" w:color="auto"/>
            </w:tcBorders>
            <w:shd w:val="clear" w:color="000000" w:fill="DDEBF7"/>
            <w:noWrap/>
            <w:vAlign w:val="center"/>
            <w:hideMark/>
          </w:tcPr>
          <w:p w14:paraId="56E6D546"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NES/OT</w:t>
            </w:r>
          </w:p>
        </w:tc>
        <w:tc>
          <w:tcPr>
            <w:tcW w:w="1425" w:type="dxa"/>
            <w:tcBorders>
              <w:top w:val="nil"/>
              <w:left w:val="nil"/>
              <w:bottom w:val="single" w:sz="8" w:space="0" w:color="auto"/>
              <w:right w:val="double" w:sz="6" w:space="0" w:color="auto"/>
            </w:tcBorders>
            <w:shd w:val="clear" w:color="000000" w:fill="DDEBF7"/>
            <w:vAlign w:val="center"/>
            <w:hideMark/>
          </w:tcPr>
          <w:p w14:paraId="7090B558" w14:textId="77777777" w:rsidR="000C1538" w:rsidRPr="00CF3958" w:rsidRDefault="000C1538" w:rsidP="000C1538">
            <w:pPr>
              <w:spacing w:after="0" w:line="240" w:lineRule="auto"/>
              <w:jc w:val="left"/>
              <w:rPr>
                <w:rFonts w:eastAsia="Times New Roman"/>
                <w:color w:val="000000"/>
                <w:sz w:val="20"/>
                <w:szCs w:val="20"/>
                <w:lang w:eastAsia="hr-HR"/>
              </w:rPr>
            </w:pPr>
            <w:r w:rsidRPr="00CF3958">
              <w:rPr>
                <w:rFonts w:eastAsia="Times New Roman"/>
                <w:color w:val="000000"/>
                <w:sz w:val="20"/>
                <w:szCs w:val="20"/>
                <w:lang w:eastAsia="hr-HR"/>
              </w:rPr>
              <w:t>Neenergetski sektor (uključujući sektor gospodarenje otpadom)</w:t>
            </w:r>
          </w:p>
        </w:tc>
        <w:tc>
          <w:tcPr>
            <w:tcW w:w="1415" w:type="dxa"/>
            <w:tcBorders>
              <w:top w:val="nil"/>
              <w:left w:val="nil"/>
              <w:bottom w:val="single" w:sz="8" w:space="0" w:color="auto"/>
              <w:right w:val="single" w:sz="8" w:space="0" w:color="auto"/>
            </w:tcBorders>
            <w:shd w:val="clear" w:color="000000" w:fill="DDEBF7"/>
            <w:noWrap/>
            <w:vAlign w:val="center"/>
            <w:hideMark/>
          </w:tcPr>
          <w:p w14:paraId="7A89E5C7"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119.000.000</w:t>
            </w:r>
          </w:p>
        </w:tc>
        <w:tc>
          <w:tcPr>
            <w:tcW w:w="1034" w:type="dxa"/>
            <w:tcBorders>
              <w:top w:val="nil"/>
              <w:left w:val="nil"/>
              <w:bottom w:val="single" w:sz="8" w:space="0" w:color="auto"/>
              <w:right w:val="double" w:sz="6" w:space="0" w:color="auto"/>
            </w:tcBorders>
            <w:shd w:val="clear" w:color="auto" w:fill="auto"/>
            <w:vAlign w:val="center"/>
            <w:hideMark/>
          </w:tcPr>
          <w:p w14:paraId="17410A64" w14:textId="1A32950D" w:rsidR="000C1538" w:rsidRPr="00CF3958" w:rsidRDefault="000C1538" w:rsidP="000C1538">
            <w:pPr>
              <w:spacing w:after="0" w:line="240" w:lineRule="auto"/>
              <w:jc w:val="center"/>
              <w:rPr>
                <w:rFonts w:eastAsia="Times New Roman"/>
                <w:color w:val="000000"/>
                <w:sz w:val="20"/>
                <w:szCs w:val="20"/>
                <w:lang w:eastAsia="hr-HR"/>
              </w:rPr>
            </w:pPr>
            <w:r w:rsidRPr="00CF3958">
              <w:rPr>
                <w:rFonts w:eastAsia="Times New Roman"/>
                <w:color w:val="000000"/>
                <w:sz w:val="20"/>
                <w:szCs w:val="20"/>
                <w:lang w:eastAsia="hr-HR"/>
              </w:rPr>
              <w:t>7,88 %</w:t>
            </w:r>
          </w:p>
        </w:tc>
        <w:tc>
          <w:tcPr>
            <w:tcW w:w="1415" w:type="dxa"/>
            <w:tcBorders>
              <w:top w:val="nil"/>
              <w:left w:val="nil"/>
              <w:bottom w:val="single" w:sz="8" w:space="0" w:color="auto"/>
              <w:right w:val="single" w:sz="8" w:space="0" w:color="auto"/>
            </w:tcBorders>
            <w:shd w:val="clear" w:color="auto" w:fill="auto"/>
            <w:noWrap/>
            <w:hideMark/>
          </w:tcPr>
          <w:p w14:paraId="353864FD" w14:textId="39BE7BF2"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83.000.000</w:t>
            </w:r>
          </w:p>
        </w:tc>
        <w:tc>
          <w:tcPr>
            <w:tcW w:w="1286" w:type="dxa"/>
            <w:tcBorders>
              <w:top w:val="nil"/>
              <w:left w:val="nil"/>
              <w:bottom w:val="single" w:sz="8" w:space="0" w:color="auto"/>
              <w:right w:val="single" w:sz="8" w:space="0" w:color="auto"/>
            </w:tcBorders>
            <w:shd w:val="clear" w:color="auto" w:fill="auto"/>
            <w:noWrap/>
            <w:vAlign w:val="center"/>
            <w:hideMark/>
          </w:tcPr>
          <w:p w14:paraId="4F86FC66" w14:textId="43B2F653"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13.439.496,21</w:t>
            </w:r>
          </w:p>
        </w:tc>
        <w:tc>
          <w:tcPr>
            <w:tcW w:w="1201" w:type="dxa"/>
            <w:tcBorders>
              <w:top w:val="nil"/>
              <w:left w:val="nil"/>
              <w:bottom w:val="single" w:sz="8" w:space="0" w:color="auto"/>
              <w:right w:val="single" w:sz="8" w:space="0" w:color="auto"/>
            </w:tcBorders>
            <w:shd w:val="clear" w:color="auto" w:fill="auto"/>
            <w:noWrap/>
            <w:hideMark/>
          </w:tcPr>
          <w:p w14:paraId="088DC1A1" w14:textId="6DD77016" w:rsidR="000C1538" w:rsidRPr="00CF3958" w:rsidRDefault="000C1538" w:rsidP="000C1538">
            <w:pPr>
              <w:spacing w:after="0" w:line="240" w:lineRule="auto"/>
              <w:jc w:val="right"/>
              <w:rPr>
                <w:rFonts w:eastAsia="Times New Roman"/>
                <w:color w:val="000000"/>
                <w:sz w:val="20"/>
                <w:szCs w:val="20"/>
                <w:lang w:eastAsia="hr-HR"/>
              </w:rPr>
            </w:pPr>
            <w:r w:rsidRPr="000C1538">
              <w:rPr>
                <w:rFonts w:eastAsia="Times New Roman"/>
                <w:color w:val="000000"/>
                <w:sz w:val="20"/>
                <w:szCs w:val="20"/>
                <w:lang w:eastAsia="hr-HR"/>
              </w:rPr>
              <w:t>9.859.661,15</w:t>
            </w:r>
          </w:p>
        </w:tc>
        <w:tc>
          <w:tcPr>
            <w:tcW w:w="1286" w:type="dxa"/>
            <w:tcBorders>
              <w:top w:val="nil"/>
              <w:left w:val="nil"/>
              <w:bottom w:val="single" w:sz="8" w:space="0" w:color="auto"/>
              <w:right w:val="single" w:sz="8" w:space="0" w:color="auto"/>
            </w:tcBorders>
            <w:shd w:val="clear" w:color="auto" w:fill="auto"/>
            <w:noWrap/>
            <w:vAlign w:val="center"/>
            <w:hideMark/>
          </w:tcPr>
          <w:p w14:paraId="4149F888"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12.227.328,22</w:t>
            </w:r>
          </w:p>
        </w:tc>
        <w:tc>
          <w:tcPr>
            <w:tcW w:w="1709" w:type="dxa"/>
            <w:tcBorders>
              <w:top w:val="nil"/>
              <w:left w:val="nil"/>
              <w:bottom w:val="single" w:sz="8" w:space="0" w:color="auto"/>
              <w:right w:val="single" w:sz="8" w:space="0" w:color="auto"/>
            </w:tcBorders>
            <w:shd w:val="clear" w:color="auto" w:fill="auto"/>
            <w:noWrap/>
            <w:vAlign w:val="center"/>
            <w:hideMark/>
          </w:tcPr>
          <w:p w14:paraId="4DD05857" w14:textId="6F329858" w:rsidR="000C1538" w:rsidRPr="00CF3958" w:rsidRDefault="000C1538" w:rsidP="000C1538">
            <w:pPr>
              <w:spacing w:after="0" w:line="240" w:lineRule="auto"/>
              <w:jc w:val="right"/>
              <w:rPr>
                <w:rFonts w:eastAsia="Times New Roman"/>
                <w:color w:val="000000"/>
                <w:sz w:val="20"/>
                <w:szCs w:val="20"/>
                <w:lang w:eastAsia="hr-HR"/>
              </w:rPr>
            </w:pPr>
            <w:r w:rsidRPr="00D57D1F">
              <w:rPr>
                <w:rFonts w:eastAsia="Times New Roman"/>
                <w:color w:val="000000"/>
                <w:sz w:val="20"/>
                <w:szCs w:val="20"/>
                <w:lang w:eastAsia="hr-HR"/>
              </w:rPr>
              <w:t>35.526.485,58</w:t>
            </w:r>
          </w:p>
        </w:tc>
        <w:tc>
          <w:tcPr>
            <w:tcW w:w="1072" w:type="dxa"/>
            <w:tcBorders>
              <w:top w:val="nil"/>
              <w:left w:val="nil"/>
              <w:bottom w:val="single" w:sz="8" w:space="0" w:color="auto"/>
              <w:right w:val="single" w:sz="8" w:space="0" w:color="auto"/>
            </w:tcBorders>
            <w:shd w:val="clear" w:color="auto" w:fill="auto"/>
            <w:noWrap/>
            <w:vAlign w:val="center"/>
            <w:hideMark/>
          </w:tcPr>
          <w:p w14:paraId="4CD9E0C4"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5,55</w:t>
            </w:r>
          </w:p>
        </w:tc>
        <w:tc>
          <w:tcPr>
            <w:tcW w:w="1286" w:type="dxa"/>
            <w:tcBorders>
              <w:top w:val="nil"/>
              <w:left w:val="nil"/>
              <w:bottom w:val="single" w:sz="8" w:space="0" w:color="auto"/>
              <w:right w:val="single" w:sz="8" w:space="0" w:color="auto"/>
            </w:tcBorders>
            <w:shd w:val="clear" w:color="auto" w:fill="auto"/>
            <w:noWrap/>
            <w:vAlign w:val="center"/>
            <w:hideMark/>
          </w:tcPr>
          <w:p w14:paraId="5D908CE7"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43.296.805,45</w:t>
            </w:r>
          </w:p>
        </w:tc>
        <w:tc>
          <w:tcPr>
            <w:tcW w:w="1415" w:type="dxa"/>
            <w:tcBorders>
              <w:top w:val="nil"/>
              <w:left w:val="nil"/>
              <w:bottom w:val="single" w:sz="8" w:space="0" w:color="auto"/>
              <w:right w:val="single" w:sz="8" w:space="0" w:color="auto"/>
            </w:tcBorders>
            <w:shd w:val="clear" w:color="auto" w:fill="auto"/>
            <w:noWrap/>
            <w:vAlign w:val="center"/>
            <w:hideMark/>
          </w:tcPr>
          <w:p w14:paraId="0D7A619F"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78.823.290,67</w:t>
            </w:r>
          </w:p>
        </w:tc>
      </w:tr>
      <w:tr w:rsidR="000C1538" w:rsidRPr="00D57D1F" w14:paraId="1365B2AB" w14:textId="77777777" w:rsidTr="000C1538">
        <w:trPr>
          <w:trHeight w:val="1537"/>
        </w:trPr>
        <w:tc>
          <w:tcPr>
            <w:tcW w:w="844" w:type="dxa"/>
            <w:tcBorders>
              <w:top w:val="nil"/>
              <w:left w:val="single" w:sz="8" w:space="0" w:color="auto"/>
              <w:bottom w:val="single" w:sz="8" w:space="0" w:color="auto"/>
              <w:right w:val="single" w:sz="8" w:space="0" w:color="auto"/>
            </w:tcBorders>
            <w:shd w:val="clear" w:color="000000" w:fill="DDEBF7"/>
            <w:noWrap/>
            <w:vAlign w:val="center"/>
            <w:hideMark/>
          </w:tcPr>
          <w:p w14:paraId="33570FF8"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ESIF</w:t>
            </w:r>
          </w:p>
        </w:tc>
        <w:tc>
          <w:tcPr>
            <w:tcW w:w="1425" w:type="dxa"/>
            <w:tcBorders>
              <w:top w:val="nil"/>
              <w:left w:val="nil"/>
              <w:bottom w:val="single" w:sz="8" w:space="0" w:color="auto"/>
              <w:right w:val="double" w:sz="6" w:space="0" w:color="auto"/>
            </w:tcBorders>
            <w:shd w:val="clear" w:color="000000" w:fill="DDEBF7"/>
            <w:vAlign w:val="center"/>
            <w:hideMark/>
          </w:tcPr>
          <w:p w14:paraId="2E0C63E7" w14:textId="77777777" w:rsidR="000C1538" w:rsidRPr="00CF3958" w:rsidRDefault="000C1538" w:rsidP="000C1538">
            <w:pPr>
              <w:spacing w:after="0" w:line="240" w:lineRule="auto"/>
              <w:jc w:val="left"/>
              <w:rPr>
                <w:rFonts w:eastAsia="Times New Roman"/>
                <w:color w:val="000000"/>
                <w:sz w:val="20"/>
                <w:szCs w:val="20"/>
                <w:lang w:eastAsia="hr-HR"/>
              </w:rPr>
            </w:pPr>
            <w:r w:rsidRPr="00CF3958">
              <w:rPr>
                <w:rFonts w:eastAsia="Times New Roman"/>
                <w:color w:val="000000"/>
                <w:sz w:val="20"/>
                <w:szCs w:val="20"/>
                <w:lang w:eastAsia="hr-HR"/>
              </w:rPr>
              <w:t>Ukupno projekti ESI fondova i prioritetne mjere prilagodbe klimatskim promjenama</w:t>
            </w:r>
          </w:p>
        </w:tc>
        <w:tc>
          <w:tcPr>
            <w:tcW w:w="1415" w:type="dxa"/>
            <w:tcBorders>
              <w:top w:val="nil"/>
              <w:left w:val="nil"/>
              <w:bottom w:val="single" w:sz="8" w:space="0" w:color="auto"/>
              <w:right w:val="single" w:sz="8" w:space="0" w:color="auto"/>
            </w:tcBorders>
            <w:shd w:val="clear" w:color="000000" w:fill="DDEBF7"/>
            <w:noWrap/>
            <w:vAlign w:val="center"/>
            <w:hideMark/>
          </w:tcPr>
          <w:p w14:paraId="2C616159"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190.000.000</w:t>
            </w:r>
          </w:p>
        </w:tc>
        <w:tc>
          <w:tcPr>
            <w:tcW w:w="1034" w:type="dxa"/>
            <w:tcBorders>
              <w:top w:val="nil"/>
              <w:left w:val="nil"/>
              <w:bottom w:val="single" w:sz="8" w:space="0" w:color="auto"/>
              <w:right w:val="double" w:sz="6" w:space="0" w:color="auto"/>
            </w:tcBorders>
            <w:shd w:val="clear" w:color="auto" w:fill="auto"/>
            <w:vAlign w:val="center"/>
            <w:hideMark/>
          </w:tcPr>
          <w:p w14:paraId="2EE0514D" w14:textId="0A5329F0" w:rsidR="000C1538" w:rsidRPr="00CF3958" w:rsidRDefault="000C1538" w:rsidP="000C1538">
            <w:pPr>
              <w:spacing w:after="0" w:line="240" w:lineRule="auto"/>
              <w:jc w:val="center"/>
              <w:rPr>
                <w:rFonts w:eastAsia="Times New Roman"/>
                <w:color w:val="000000"/>
                <w:sz w:val="20"/>
                <w:szCs w:val="20"/>
                <w:lang w:eastAsia="hr-HR"/>
              </w:rPr>
            </w:pPr>
            <w:r w:rsidRPr="00CF3958">
              <w:rPr>
                <w:rFonts w:eastAsia="Times New Roman"/>
                <w:color w:val="000000"/>
                <w:sz w:val="20"/>
                <w:szCs w:val="20"/>
                <w:lang w:eastAsia="hr-HR"/>
              </w:rPr>
              <w:t>12,58 %</w:t>
            </w:r>
          </w:p>
        </w:tc>
        <w:tc>
          <w:tcPr>
            <w:tcW w:w="1415" w:type="dxa"/>
            <w:tcBorders>
              <w:top w:val="nil"/>
              <w:left w:val="nil"/>
              <w:bottom w:val="single" w:sz="8" w:space="0" w:color="auto"/>
              <w:right w:val="single" w:sz="8" w:space="0" w:color="auto"/>
            </w:tcBorders>
            <w:shd w:val="clear" w:color="auto" w:fill="auto"/>
            <w:noWrap/>
            <w:hideMark/>
          </w:tcPr>
          <w:p w14:paraId="6E9BB2C3" w14:textId="01B5A4E9"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169.000.000</w:t>
            </w:r>
          </w:p>
        </w:tc>
        <w:tc>
          <w:tcPr>
            <w:tcW w:w="1286" w:type="dxa"/>
            <w:tcBorders>
              <w:top w:val="nil"/>
              <w:left w:val="nil"/>
              <w:bottom w:val="single" w:sz="8" w:space="0" w:color="auto"/>
              <w:right w:val="single" w:sz="8" w:space="0" w:color="auto"/>
            </w:tcBorders>
            <w:shd w:val="clear" w:color="auto" w:fill="auto"/>
            <w:noWrap/>
            <w:vAlign w:val="center"/>
            <w:hideMark/>
          </w:tcPr>
          <w:p w14:paraId="6625E118" w14:textId="57658919" w:rsidR="000C1538" w:rsidRPr="00CF3958" w:rsidRDefault="000C1538" w:rsidP="00706F1E">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2.162.67</w:t>
            </w:r>
            <w:r w:rsidR="00706F1E">
              <w:rPr>
                <w:rFonts w:eastAsia="Times New Roman"/>
                <w:color w:val="000000"/>
                <w:sz w:val="20"/>
                <w:szCs w:val="20"/>
                <w:lang w:eastAsia="hr-HR"/>
              </w:rPr>
              <w:t>4,70</w:t>
            </w:r>
          </w:p>
        </w:tc>
        <w:tc>
          <w:tcPr>
            <w:tcW w:w="1201" w:type="dxa"/>
            <w:tcBorders>
              <w:top w:val="nil"/>
              <w:left w:val="nil"/>
              <w:bottom w:val="single" w:sz="8" w:space="0" w:color="auto"/>
              <w:right w:val="single" w:sz="8" w:space="0" w:color="auto"/>
            </w:tcBorders>
            <w:shd w:val="clear" w:color="auto" w:fill="auto"/>
            <w:noWrap/>
            <w:hideMark/>
          </w:tcPr>
          <w:p w14:paraId="5639321B" w14:textId="349AF8E1" w:rsidR="000C1538" w:rsidRPr="00CF3958" w:rsidRDefault="000C1538" w:rsidP="000C1538">
            <w:pPr>
              <w:spacing w:after="0" w:line="240" w:lineRule="auto"/>
              <w:jc w:val="right"/>
              <w:rPr>
                <w:rFonts w:eastAsia="Times New Roman"/>
                <w:color w:val="000000"/>
                <w:sz w:val="20"/>
                <w:szCs w:val="20"/>
                <w:lang w:eastAsia="hr-HR"/>
              </w:rPr>
            </w:pPr>
            <w:r w:rsidRPr="000C1538">
              <w:rPr>
                <w:rFonts w:eastAsia="Times New Roman"/>
                <w:color w:val="000000"/>
                <w:sz w:val="20"/>
                <w:szCs w:val="20"/>
                <w:lang w:eastAsia="hr-HR"/>
              </w:rPr>
              <w:t>10.152.391,09</w:t>
            </w:r>
          </w:p>
        </w:tc>
        <w:tc>
          <w:tcPr>
            <w:tcW w:w="1286" w:type="dxa"/>
            <w:tcBorders>
              <w:top w:val="nil"/>
              <w:left w:val="nil"/>
              <w:bottom w:val="single" w:sz="8" w:space="0" w:color="auto"/>
              <w:right w:val="single" w:sz="8" w:space="0" w:color="auto"/>
            </w:tcBorders>
            <w:shd w:val="clear" w:color="auto" w:fill="auto"/>
            <w:noWrap/>
            <w:vAlign w:val="center"/>
            <w:hideMark/>
          </w:tcPr>
          <w:p w14:paraId="6B440E39"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22.979.792,04</w:t>
            </w:r>
          </w:p>
        </w:tc>
        <w:tc>
          <w:tcPr>
            <w:tcW w:w="1709" w:type="dxa"/>
            <w:tcBorders>
              <w:top w:val="nil"/>
              <w:left w:val="nil"/>
              <w:bottom w:val="single" w:sz="8" w:space="0" w:color="auto"/>
              <w:right w:val="single" w:sz="8" w:space="0" w:color="auto"/>
            </w:tcBorders>
            <w:shd w:val="clear" w:color="auto" w:fill="auto"/>
            <w:noWrap/>
            <w:vAlign w:val="center"/>
            <w:hideMark/>
          </w:tcPr>
          <w:p w14:paraId="2CE2876F" w14:textId="659D0944" w:rsidR="000C1538" w:rsidRPr="00CF3958" w:rsidRDefault="000C1538" w:rsidP="000C1538">
            <w:pPr>
              <w:spacing w:after="0" w:line="240" w:lineRule="auto"/>
              <w:jc w:val="right"/>
              <w:rPr>
                <w:rFonts w:eastAsia="Times New Roman"/>
                <w:color w:val="000000"/>
                <w:sz w:val="20"/>
                <w:szCs w:val="20"/>
                <w:lang w:eastAsia="hr-HR"/>
              </w:rPr>
            </w:pPr>
            <w:r w:rsidRPr="00D57D1F">
              <w:rPr>
                <w:rFonts w:eastAsia="Times New Roman"/>
                <w:color w:val="000000"/>
                <w:sz w:val="20"/>
                <w:szCs w:val="20"/>
                <w:lang w:eastAsia="hr-HR"/>
              </w:rPr>
              <w:t>35.294.857,83</w:t>
            </w:r>
          </w:p>
        </w:tc>
        <w:tc>
          <w:tcPr>
            <w:tcW w:w="1072" w:type="dxa"/>
            <w:tcBorders>
              <w:top w:val="nil"/>
              <w:left w:val="nil"/>
              <w:bottom w:val="single" w:sz="8" w:space="0" w:color="auto"/>
              <w:right w:val="single" w:sz="8" w:space="0" w:color="auto"/>
            </w:tcBorders>
            <w:shd w:val="clear" w:color="auto" w:fill="auto"/>
            <w:noWrap/>
            <w:vAlign w:val="center"/>
            <w:hideMark/>
          </w:tcPr>
          <w:p w14:paraId="0972885E"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5,52</w:t>
            </w:r>
          </w:p>
        </w:tc>
        <w:tc>
          <w:tcPr>
            <w:tcW w:w="1286" w:type="dxa"/>
            <w:tcBorders>
              <w:top w:val="nil"/>
              <w:left w:val="nil"/>
              <w:bottom w:val="single" w:sz="8" w:space="0" w:color="auto"/>
              <w:right w:val="single" w:sz="8" w:space="0" w:color="auto"/>
            </w:tcBorders>
            <w:shd w:val="clear" w:color="auto" w:fill="auto"/>
            <w:noWrap/>
            <w:vAlign w:val="center"/>
            <w:hideMark/>
          </w:tcPr>
          <w:p w14:paraId="09E625DD"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154.011.139,07</w:t>
            </w:r>
          </w:p>
        </w:tc>
        <w:tc>
          <w:tcPr>
            <w:tcW w:w="1415" w:type="dxa"/>
            <w:tcBorders>
              <w:top w:val="nil"/>
              <w:left w:val="nil"/>
              <w:bottom w:val="single" w:sz="8" w:space="0" w:color="auto"/>
              <w:right w:val="single" w:sz="8" w:space="0" w:color="auto"/>
            </w:tcBorders>
            <w:shd w:val="clear" w:color="auto" w:fill="auto"/>
            <w:noWrap/>
            <w:vAlign w:val="center"/>
            <w:hideMark/>
          </w:tcPr>
          <w:p w14:paraId="5D474D19"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189.305.997,11</w:t>
            </w:r>
          </w:p>
        </w:tc>
      </w:tr>
      <w:tr w:rsidR="000C1538" w:rsidRPr="00D57D1F" w14:paraId="65A3F92D" w14:textId="77777777" w:rsidTr="000C1538">
        <w:trPr>
          <w:trHeight w:val="519"/>
        </w:trPr>
        <w:tc>
          <w:tcPr>
            <w:tcW w:w="844" w:type="dxa"/>
            <w:tcBorders>
              <w:top w:val="nil"/>
              <w:left w:val="single" w:sz="8" w:space="0" w:color="auto"/>
              <w:bottom w:val="single" w:sz="8" w:space="0" w:color="auto"/>
              <w:right w:val="single" w:sz="8" w:space="0" w:color="auto"/>
            </w:tcBorders>
            <w:shd w:val="clear" w:color="000000" w:fill="DDEBF7"/>
            <w:noWrap/>
            <w:vAlign w:val="center"/>
            <w:hideMark/>
          </w:tcPr>
          <w:p w14:paraId="3F8403E4"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IR</w:t>
            </w:r>
          </w:p>
        </w:tc>
        <w:tc>
          <w:tcPr>
            <w:tcW w:w="1425" w:type="dxa"/>
            <w:tcBorders>
              <w:top w:val="nil"/>
              <w:left w:val="nil"/>
              <w:bottom w:val="single" w:sz="8" w:space="0" w:color="auto"/>
              <w:right w:val="double" w:sz="6" w:space="0" w:color="auto"/>
            </w:tcBorders>
            <w:shd w:val="clear" w:color="000000" w:fill="DDEBF7"/>
            <w:vAlign w:val="center"/>
            <w:hideMark/>
          </w:tcPr>
          <w:p w14:paraId="46961D64" w14:textId="77777777" w:rsidR="000C1538" w:rsidRPr="00CF3958" w:rsidRDefault="000C1538" w:rsidP="000C1538">
            <w:pPr>
              <w:spacing w:after="0" w:line="240" w:lineRule="auto"/>
              <w:jc w:val="left"/>
              <w:rPr>
                <w:rFonts w:eastAsia="Times New Roman"/>
                <w:color w:val="000000"/>
                <w:sz w:val="20"/>
                <w:szCs w:val="20"/>
                <w:lang w:eastAsia="hr-HR"/>
              </w:rPr>
            </w:pPr>
            <w:r w:rsidRPr="00CF3958">
              <w:rPr>
                <w:rFonts w:eastAsia="Times New Roman"/>
                <w:color w:val="000000"/>
                <w:sz w:val="20"/>
                <w:szCs w:val="20"/>
                <w:lang w:eastAsia="hr-HR"/>
              </w:rPr>
              <w:t>Istraživanje i razvoj i stručna podrška</w:t>
            </w:r>
          </w:p>
        </w:tc>
        <w:tc>
          <w:tcPr>
            <w:tcW w:w="1415" w:type="dxa"/>
            <w:tcBorders>
              <w:top w:val="nil"/>
              <w:left w:val="nil"/>
              <w:bottom w:val="single" w:sz="8" w:space="0" w:color="auto"/>
              <w:right w:val="single" w:sz="8" w:space="0" w:color="auto"/>
            </w:tcBorders>
            <w:shd w:val="clear" w:color="000000" w:fill="DDEBF7"/>
            <w:noWrap/>
            <w:vAlign w:val="center"/>
            <w:hideMark/>
          </w:tcPr>
          <w:p w14:paraId="07F25DD2"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70.000.000</w:t>
            </w:r>
          </w:p>
        </w:tc>
        <w:tc>
          <w:tcPr>
            <w:tcW w:w="1034" w:type="dxa"/>
            <w:tcBorders>
              <w:top w:val="nil"/>
              <w:left w:val="nil"/>
              <w:bottom w:val="single" w:sz="8" w:space="0" w:color="auto"/>
              <w:right w:val="double" w:sz="6" w:space="0" w:color="auto"/>
            </w:tcBorders>
            <w:shd w:val="clear" w:color="auto" w:fill="auto"/>
            <w:vAlign w:val="center"/>
            <w:hideMark/>
          </w:tcPr>
          <w:p w14:paraId="7806089E" w14:textId="4599E7E3" w:rsidR="000C1538" w:rsidRPr="00CF3958" w:rsidRDefault="000C1538" w:rsidP="000C1538">
            <w:pPr>
              <w:spacing w:after="0" w:line="240" w:lineRule="auto"/>
              <w:jc w:val="center"/>
              <w:rPr>
                <w:rFonts w:eastAsia="Times New Roman"/>
                <w:color w:val="000000"/>
                <w:sz w:val="20"/>
                <w:szCs w:val="20"/>
                <w:lang w:eastAsia="hr-HR"/>
              </w:rPr>
            </w:pPr>
            <w:r w:rsidRPr="00CF3958">
              <w:rPr>
                <w:rFonts w:eastAsia="Times New Roman"/>
                <w:color w:val="000000"/>
                <w:sz w:val="20"/>
                <w:szCs w:val="20"/>
                <w:lang w:eastAsia="hr-HR"/>
              </w:rPr>
              <w:t>4,64 %</w:t>
            </w:r>
          </w:p>
        </w:tc>
        <w:tc>
          <w:tcPr>
            <w:tcW w:w="1415" w:type="dxa"/>
            <w:tcBorders>
              <w:top w:val="nil"/>
              <w:left w:val="nil"/>
              <w:bottom w:val="single" w:sz="8" w:space="0" w:color="auto"/>
              <w:right w:val="single" w:sz="8" w:space="0" w:color="auto"/>
            </w:tcBorders>
            <w:shd w:val="clear" w:color="auto" w:fill="auto"/>
            <w:noWrap/>
            <w:hideMark/>
          </w:tcPr>
          <w:p w14:paraId="1A85929B" w14:textId="5BD111EF"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70.000.000</w:t>
            </w:r>
          </w:p>
        </w:tc>
        <w:tc>
          <w:tcPr>
            <w:tcW w:w="1286" w:type="dxa"/>
            <w:tcBorders>
              <w:top w:val="nil"/>
              <w:left w:val="nil"/>
              <w:bottom w:val="single" w:sz="8" w:space="0" w:color="auto"/>
              <w:right w:val="single" w:sz="8" w:space="0" w:color="auto"/>
            </w:tcBorders>
            <w:shd w:val="clear" w:color="auto" w:fill="auto"/>
            <w:noWrap/>
            <w:vAlign w:val="center"/>
            <w:hideMark/>
          </w:tcPr>
          <w:p w14:paraId="11560BDE" w14:textId="205A13B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19.500.399,24</w:t>
            </w:r>
          </w:p>
        </w:tc>
        <w:tc>
          <w:tcPr>
            <w:tcW w:w="1201" w:type="dxa"/>
            <w:tcBorders>
              <w:top w:val="nil"/>
              <w:left w:val="nil"/>
              <w:bottom w:val="single" w:sz="8" w:space="0" w:color="auto"/>
              <w:right w:val="single" w:sz="8" w:space="0" w:color="auto"/>
            </w:tcBorders>
            <w:shd w:val="clear" w:color="auto" w:fill="auto"/>
            <w:noWrap/>
            <w:hideMark/>
          </w:tcPr>
          <w:p w14:paraId="2D120909" w14:textId="24B154EC" w:rsidR="000C1538" w:rsidRPr="00CF3958" w:rsidRDefault="000C1538" w:rsidP="000C1538">
            <w:pPr>
              <w:spacing w:after="0" w:line="240" w:lineRule="auto"/>
              <w:jc w:val="right"/>
              <w:rPr>
                <w:rFonts w:eastAsia="Times New Roman"/>
                <w:color w:val="000000"/>
                <w:sz w:val="20"/>
                <w:szCs w:val="20"/>
                <w:lang w:eastAsia="hr-HR"/>
              </w:rPr>
            </w:pPr>
            <w:r w:rsidRPr="000C1538">
              <w:rPr>
                <w:rFonts w:eastAsia="Times New Roman"/>
                <w:color w:val="000000"/>
                <w:sz w:val="20"/>
                <w:szCs w:val="20"/>
                <w:lang w:eastAsia="hr-HR"/>
              </w:rPr>
              <w:t>4.586.525,74</w:t>
            </w:r>
          </w:p>
        </w:tc>
        <w:tc>
          <w:tcPr>
            <w:tcW w:w="1286" w:type="dxa"/>
            <w:tcBorders>
              <w:top w:val="nil"/>
              <w:left w:val="nil"/>
              <w:bottom w:val="single" w:sz="8" w:space="0" w:color="auto"/>
              <w:right w:val="single" w:sz="8" w:space="0" w:color="auto"/>
            </w:tcBorders>
            <w:shd w:val="clear" w:color="auto" w:fill="auto"/>
            <w:noWrap/>
            <w:vAlign w:val="center"/>
            <w:hideMark/>
          </w:tcPr>
          <w:p w14:paraId="27F15964"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3.306.973,82</w:t>
            </w:r>
          </w:p>
        </w:tc>
        <w:tc>
          <w:tcPr>
            <w:tcW w:w="1709" w:type="dxa"/>
            <w:tcBorders>
              <w:top w:val="nil"/>
              <w:left w:val="nil"/>
              <w:bottom w:val="single" w:sz="8" w:space="0" w:color="auto"/>
              <w:right w:val="single" w:sz="8" w:space="0" w:color="auto"/>
            </w:tcBorders>
            <w:shd w:val="clear" w:color="auto" w:fill="auto"/>
            <w:noWrap/>
            <w:vAlign w:val="center"/>
            <w:hideMark/>
          </w:tcPr>
          <w:p w14:paraId="70FF10DD" w14:textId="51122073" w:rsidR="000C1538" w:rsidRPr="00CF3958" w:rsidRDefault="000C1538" w:rsidP="000C1538">
            <w:pPr>
              <w:spacing w:after="0" w:line="240" w:lineRule="auto"/>
              <w:jc w:val="right"/>
              <w:rPr>
                <w:rFonts w:eastAsia="Times New Roman"/>
                <w:color w:val="000000"/>
                <w:sz w:val="20"/>
                <w:szCs w:val="20"/>
                <w:lang w:eastAsia="hr-HR"/>
              </w:rPr>
            </w:pPr>
            <w:r w:rsidRPr="00D57D1F">
              <w:rPr>
                <w:rFonts w:eastAsia="Times New Roman"/>
                <w:color w:val="000000"/>
                <w:sz w:val="20"/>
                <w:szCs w:val="20"/>
                <w:lang w:eastAsia="hr-HR"/>
              </w:rPr>
              <w:t>27.393.898,80</w:t>
            </w:r>
          </w:p>
        </w:tc>
        <w:tc>
          <w:tcPr>
            <w:tcW w:w="1072" w:type="dxa"/>
            <w:tcBorders>
              <w:top w:val="nil"/>
              <w:left w:val="nil"/>
              <w:bottom w:val="single" w:sz="8" w:space="0" w:color="auto"/>
              <w:right w:val="single" w:sz="8" w:space="0" w:color="auto"/>
            </w:tcBorders>
            <w:shd w:val="clear" w:color="auto" w:fill="auto"/>
            <w:noWrap/>
            <w:vAlign w:val="center"/>
            <w:hideMark/>
          </w:tcPr>
          <w:p w14:paraId="0436EFB1"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4,28</w:t>
            </w:r>
          </w:p>
        </w:tc>
        <w:tc>
          <w:tcPr>
            <w:tcW w:w="1286" w:type="dxa"/>
            <w:tcBorders>
              <w:top w:val="nil"/>
              <w:left w:val="nil"/>
              <w:bottom w:val="single" w:sz="8" w:space="0" w:color="auto"/>
              <w:right w:val="single" w:sz="8" w:space="0" w:color="auto"/>
            </w:tcBorders>
            <w:shd w:val="clear" w:color="auto" w:fill="auto"/>
            <w:noWrap/>
            <w:vAlign w:val="center"/>
            <w:hideMark/>
          </w:tcPr>
          <w:p w14:paraId="4A960116"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15.146.312,17</w:t>
            </w:r>
          </w:p>
        </w:tc>
        <w:tc>
          <w:tcPr>
            <w:tcW w:w="1415" w:type="dxa"/>
            <w:tcBorders>
              <w:top w:val="nil"/>
              <w:left w:val="nil"/>
              <w:bottom w:val="single" w:sz="8" w:space="0" w:color="auto"/>
              <w:right w:val="single" w:sz="8" w:space="0" w:color="auto"/>
            </w:tcBorders>
            <w:shd w:val="clear" w:color="auto" w:fill="auto"/>
            <w:noWrap/>
            <w:vAlign w:val="center"/>
            <w:hideMark/>
          </w:tcPr>
          <w:p w14:paraId="77B49423"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42.540.210,99</w:t>
            </w:r>
          </w:p>
        </w:tc>
      </w:tr>
      <w:tr w:rsidR="000C1538" w:rsidRPr="00D57D1F" w14:paraId="2EE89DBD" w14:textId="77777777" w:rsidTr="000C1538">
        <w:trPr>
          <w:trHeight w:val="519"/>
        </w:trPr>
        <w:tc>
          <w:tcPr>
            <w:tcW w:w="844" w:type="dxa"/>
            <w:tcBorders>
              <w:top w:val="nil"/>
              <w:left w:val="single" w:sz="8" w:space="0" w:color="auto"/>
              <w:bottom w:val="single" w:sz="8" w:space="0" w:color="auto"/>
              <w:right w:val="single" w:sz="8" w:space="0" w:color="auto"/>
            </w:tcBorders>
            <w:shd w:val="clear" w:color="000000" w:fill="DDEBF7"/>
            <w:noWrap/>
            <w:vAlign w:val="center"/>
            <w:hideMark/>
          </w:tcPr>
          <w:p w14:paraId="5E9B13EE"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TZ</w:t>
            </w:r>
          </w:p>
        </w:tc>
        <w:tc>
          <w:tcPr>
            <w:tcW w:w="1425" w:type="dxa"/>
            <w:tcBorders>
              <w:top w:val="nil"/>
              <w:left w:val="nil"/>
              <w:bottom w:val="single" w:sz="8" w:space="0" w:color="auto"/>
              <w:right w:val="double" w:sz="6" w:space="0" w:color="auto"/>
            </w:tcBorders>
            <w:shd w:val="clear" w:color="000000" w:fill="DDEBF7"/>
            <w:vAlign w:val="center"/>
            <w:hideMark/>
          </w:tcPr>
          <w:p w14:paraId="7E587077" w14:textId="77777777" w:rsidR="000C1538" w:rsidRPr="00CF3958" w:rsidRDefault="000C1538" w:rsidP="000C1538">
            <w:pPr>
              <w:spacing w:after="0" w:line="240" w:lineRule="auto"/>
              <w:jc w:val="left"/>
              <w:rPr>
                <w:rFonts w:eastAsia="Times New Roman"/>
                <w:color w:val="000000"/>
                <w:sz w:val="20"/>
                <w:szCs w:val="20"/>
                <w:lang w:eastAsia="hr-HR"/>
              </w:rPr>
            </w:pPr>
            <w:r w:rsidRPr="00CF3958">
              <w:rPr>
                <w:rFonts w:eastAsia="Times New Roman"/>
                <w:color w:val="000000"/>
                <w:sz w:val="20"/>
                <w:szCs w:val="20"/>
                <w:lang w:eastAsia="hr-HR"/>
              </w:rPr>
              <w:t>Ukupno projekti s trećim zemljama</w:t>
            </w:r>
          </w:p>
        </w:tc>
        <w:tc>
          <w:tcPr>
            <w:tcW w:w="1415" w:type="dxa"/>
            <w:tcBorders>
              <w:top w:val="nil"/>
              <w:left w:val="nil"/>
              <w:bottom w:val="single" w:sz="8" w:space="0" w:color="auto"/>
              <w:right w:val="single" w:sz="8" w:space="0" w:color="auto"/>
            </w:tcBorders>
            <w:shd w:val="clear" w:color="000000" w:fill="DDEBF7"/>
            <w:noWrap/>
            <w:vAlign w:val="center"/>
            <w:hideMark/>
          </w:tcPr>
          <w:p w14:paraId="21DF91B9"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20.000.000</w:t>
            </w:r>
          </w:p>
        </w:tc>
        <w:tc>
          <w:tcPr>
            <w:tcW w:w="1034" w:type="dxa"/>
            <w:tcBorders>
              <w:top w:val="nil"/>
              <w:left w:val="nil"/>
              <w:bottom w:val="single" w:sz="8" w:space="0" w:color="auto"/>
              <w:right w:val="double" w:sz="6" w:space="0" w:color="auto"/>
            </w:tcBorders>
            <w:shd w:val="clear" w:color="auto" w:fill="auto"/>
            <w:vAlign w:val="center"/>
            <w:hideMark/>
          </w:tcPr>
          <w:p w14:paraId="18E62FDD" w14:textId="2EF27726" w:rsidR="000C1538" w:rsidRPr="00CF3958" w:rsidRDefault="000C1538" w:rsidP="000C1538">
            <w:pPr>
              <w:spacing w:after="0" w:line="240" w:lineRule="auto"/>
              <w:jc w:val="center"/>
              <w:rPr>
                <w:rFonts w:eastAsia="Times New Roman"/>
                <w:color w:val="000000"/>
                <w:sz w:val="20"/>
                <w:szCs w:val="20"/>
                <w:lang w:eastAsia="hr-HR"/>
              </w:rPr>
            </w:pPr>
            <w:r w:rsidRPr="00CF3958">
              <w:rPr>
                <w:rFonts w:eastAsia="Times New Roman"/>
                <w:color w:val="000000"/>
                <w:sz w:val="20"/>
                <w:szCs w:val="20"/>
                <w:lang w:eastAsia="hr-HR"/>
              </w:rPr>
              <w:t>1,32 %</w:t>
            </w:r>
          </w:p>
        </w:tc>
        <w:tc>
          <w:tcPr>
            <w:tcW w:w="1415" w:type="dxa"/>
            <w:tcBorders>
              <w:top w:val="nil"/>
              <w:left w:val="nil"/>
              <w:bottom w:val="single" w:sz="8" w:space="0" w:color="auto"/>
              <w:right w:val="single" w:sz="8" w:space="0" w:color="auto"/>
            </w:tcBorders>
            <w:shd w:val="clear" w:color="auto" w:fill="auto"/>
            <w:noWrap/>
            <w:hideMark/>
          </w:tcPr>
          <w:p w14:paraId="51C6F9F7" w14:textId="557E3E06"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500.000</w:t>
            </w:r>
          </w:p>
        </w:tc>
        <w:tc>
          <w:tcPr>
            <w:tcW w:w="1286" w:type="dxa"/>
            <w:tcBorders>
              <w:top w:val="nil"/>
              <w:left w:val="nil"/>
              <w:bottom w:val="single" w:sz="8" w:space="0" w:color="auto"/>
              <w:right w:val="single" w:sz="8" w:space="0" w:color="auto"/>
            </w:tcBorders>
            <w:shd w:val="clear" w:color="auto" w:fill="auto"/>
            <w:noWrap/>
            <w:vAlign w:val="center"/>
            <w:hideMark/>
          </w:tcPr>
          <w:p w14:paraId="597059E9"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0</w:t>
            </w:r>
          </w:p>
        </w:tc>
        <w:tc>
          <w:tcPr>
            <w:tcW w:w="1201" w:type="dxa"/>
            <w:tcBorders>
              <w:top w:val="nil"/>
              <w:left w:val="nil"/>
              <w:bottom w:val="single" w:sz="8" w:space="0" w:color="auto"/>
              <w:right w:val="single" w:sz="8" w:space="0" w:color="auto"/>
            </w:tcBorders>
            <w:shd w:val="clear" w:color="auto" w:fill="auto"/>
            <w:noWrap/>
            <w:hideMark/>
          </w:tcPr>
          <w:p w14:paraId="46363009" w14:textId="04DFC3D4" w:rsidR="000C1538" w:rsidRPr="00CF3958" w:rsidRDefault="000C1538" w:rsidP="000C1538">
            <w:pPr>
              <w:spacing w:after="0" w:line="240" w:lineRule="auto"/>
              <w:jc w:val="right"/>
              <w:rPr>
                <w:rFonts w:eastAsia="Times New Roman"/>
                <w:color w:val="000000"/>
                <w:sz w:val="20"/>
                <w:szCs w:val="20"/>
                <w:lang w:eastAsia="hr-HR"/>
              </w:rPr>
            </w:pPr>
            <w:r w:rsidRPr="000C1538">
              <w:rPr>
                <w:rFonts w:eastAsia="Times New Roman"/>
                <w:color w:val="000000"/>
                <w:sz w:val="20"/>
                <w:szCs w:val="20"/>
                <w:lang w:eastAsia="hr-HR"/>
              </w:rPr>
              <w:t>0,00</w:t>
            </w:r>
          </w:p>
        </w:tc>
        <w:tc>
          <w:tcPr>
            <w:tcW w:w="1286" w:type="dxa"/>
            <w:tcBorders>
              <w:top w:val="nil"/>
              <w:left w:val="nil"/>
              <w:bottom w:val="single" w:sz="8" w:space="0" w:color="auto"/>
              <w:right w:val="single" w:sz="8" w:space="0" w:color="auto"/>
            </w:tcBorders>
            <w:shd w:val="clear" w:color="auto" w:fill="auto"/>
            <w:noWrap/>
            <w:vAlign w:val="center"/>
            <w:hideMark/>
          </w:tcPr>
          <w:p w14:paraId="27DDB4CB"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0</w:t>
            </w:r>
          </w:p>
        </w:tc>
        <w:tc>
          <w:tcPr>
            <w:tcW w:w="1709" w:type="dxa"/>
            <w:tcBorders>
              <w:top w:val="nil"/>
              <w:left w:val="nil"/>
              <w:bottom w:val="single" w:sz="8" w:space="0" w:color="auto"/>
              <w:right w:val="single" w:sz="8" w:space="0" w:color="auto"/>
            </w:tcBorders>
            <w:shd w:val="clear" w:color="auto" w:fill="auto"/>
            <w:noWrap/>
            <w:vAlign w:val="center"/>
            <w:hideMark/>
          </w:tcPr>
          <w:p w14:paraId="7F6D9C52" w14:textId="55B1F892" w:rsidR="000C1538" w:rsidRPr="00CF3958" w:rsidRDefault="000C1538" w:rsidP="000C1538">
            <w:pPr>
              <w:spacing w:after="0" w:line="240" w:lineRule="auto"/>
              <w:jc w:val="right"/>
              <w:rPr>
                <w:rFonts w:eastAsia="Times New Roman"/>
                <w:color w:val="000000"/>
                <w:sz w:val="20"/>
                <w:szCs w:val="20"/>
                <w:lang w:eastAsia="hr-HR"/>
              </w:rPr>
            </w:pPr>
            <w:r w:rsidRPr="00D57D1F">
              <w:rPr>
                <w:rFonts w:eastAsia="Times New Roman"/>
                <w:color w:val="000000"/>
                <w:sz w:val="20"/>
                <w:szCs w:val="20"/>
                <w:lang w:eastAsia="hr-HR"/>
              </w:rPr>
              <w:t>0,00</w:t>
            </w:r>
          </w:p>
        </w:tc>
        <w:tc>
          <w:tcPr>
            <w:tcW w:w="1072" w:type="dxa"/>
            <w:tcBorders>
              <w:top w:val="nil"/>
              <w:left w:val="nil"/>
              <w:bottom w:val="single" w:sz="8" w:space="0" w:color="auto"/>
              <w:right w:val="single" w:sz="8" w:space="0" w:color="auto"/>
            </w:tcBorders>
            <w:shd w:val="clear" w:color="auto" w:fill="auto"/>
            <w:noWrap/>
            <w:vAlign w:val="center"/>
            <w:hideMark/>
          </w:tcPr>
          <w:p w14:paraId="2B12E80E"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0,00</w:t>
            </w:r>
          </w:p>
        </w:tc>
        <w:tc>
          <w:tcPr>
            <w:tcW w:w="1286" w:type="dxa"/>
            <w:tcBorders>
              <w:top w:val="nil"/>
              <w:left w:val="nil"/>
              <w:bottom w:val="single" w:sz="8" w:space="0" w:color="auto"/>
              <w:right w:val="single" w:sz="8" w:space="0" w:color="auto"/>
            </w:tcBorders>
            <w:shd w:val="clear" w:color="auto" w:fill="auto"/>
            <w:noWrap/>
            <w:vAlign w:val="center"/>
            <w:hideMark/>
          </w:tcPr>
          <w:p w14:paraId="0F5D3B14"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0</w:t>
            </w:r>
          </w:p>
        </w:tc>
        <w:tc>
          <w:tcPr>
            <w:tcW w:w="1415" w:type="dxa"/>
            <w:tcBorders>
              <w:top w:val="nil"/>
              <w:left w:val="nil"/>
              <w:bottom w:val="single" w:sz="8" w:space="0" w:color="auto"/>
              <w:right w:val="single" w:sz="8" w:space="0" w:color="auto"/>
            </w:tcBorders>
            <w:shd w:val="clear" w:color="auto" w:fill="auto"/>
            <w:noWrap/>
            <w:vAlign w:val="center"/>
            <w:hideMark/>
          </w:tcPr>
          <w:p w14:paraId="06B02784"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0</w:t>
            </w:r>
          </w:p>
        </w:tc>
      </w:tr>
      <w:tr w:rsidR="000C1538" w:rsidRPr="00D57D1F" w14:paraId="71C222CB" w14:textId="77777777" w:rsidTr="000C1538">
        <w:trPr>
          <w:trHeight w:val="774"/>
        </w:trPr>
        <w:tc>
          <w:tcPr>
            <w:tcW w:w="844" w:type="dxa"/>
            <w:tcBorders>
              <w:top w:val="nil"/>
              <w:left w:val="single" w:sz="8" w:space="0" w:color="auto"/>
              <w:bottom w:val="nil"/>
              <w:right w:val="single" w:sz="8" w:space="0" w:color="auto"/>
            </w:tcBorders>
            <w:shd w:val="clear" w:color="000000" w:fill="DDEBF7"/>
            <w:noWrap/>
            <w:vAlign w:val="center"/>
            <w:hideMark/>
          </w:tcPr>
          <w:p w14:paraId="2CF82AA3"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CGO</w:t>
            </w:r>
          </w:p>
        </w:tc>
        <w:tc>
          <w:tcPr>
            <w:tcW w:w="1425" w:type="dxa"/>
            <w:tcBorders>
              <w:top w:val="nil"/>
              <w:left w:val="nil"/>
              <w:bottom w:val="nil"/>
              <w:right w:val="double" w:sz="6" w:space="0" w:color="auto"/>
            </w:tcBorders>
            <w:shd w:val="clear" w:color="000000" w:fill="DDEBF7"/>
            <w:vAlign w:val="center"/>
            <w:hideMark/>
          </w:tcPr>
          <w:p w14:paraId="478873ED" w14:textId="77777777" w:rsidR="000C1538" w:rsidRPr="00CF3958" w:rsidRDefault="000C1538" w:rsidP="000C1538">
            <w:pPr>
              <w:spacing w:after="0" w:line="240" w:lineRule="auto"/>
              <w:jc w:val="left"/>
              <w:rPr>
                <w:rFonts w:eastAsia="Times New Roman"/>
                <w:color w:val="000000"/>
                <w:sz w:val="20"/>
                <w:szCs w:val="20"/>
                <w:lang w:eastAsia="hr-HR"/>
              </w:rPr>
            </w:pPr>
            <w:r w:rsidRPr="00CF3958">
              <w:rPr>
                <w:rFonts w:eastAsia="Times New Roman"/>
                <w:color w:val="000000"/>
                <w:sz w:val="20"/>
                <w:szCs w:val="20"/>
                <w:lang w:eastAsia="hr-HR"/>
              </w:rPr>
              <w:t>Centri za gospodarenje otpadom</w:t>
            </w:r>
          </w:p>
        </w:tc>
        <w:tc>
          <w:tcPr>
            <w:tcW w:w="1415" w:type="dxa"/>
            <w:tcBorders>
              <w:top w:val="nil"/>
              <w:left w:val="nil"/>
              <w:bottom w:val="nil"/>
              <w:right w:val="single" w:sz="8" w:space="0" w:color="auto"/>
            </w:tcBorders>
            <w:shd w:val="clear" w:color="000000" w:fill="DDEBF7"/>
            <w:noWrap/>
            <w:vAlign w:val="center"/>
            <w:hideMark/>
          </w:tcPr>
          <w:p w14:paraId="58D4143A"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355.000.000</w:t>
            </w:r>
          </w:p>
        </w:tc>
        <w:tc>
          <w:tcPr>
            <w:tcW w:w="1034" w:type="dxa"/>
            <w:tcBorders>
              <w:top w:val="nil"/>
              <w:left w:val="nil"/>
              <w:bottom w:val="nil"/>
              <w:right w:val="double" w:sz="6" w:space="0" w:color="auto"/>
            </w:tcBorders>
            <w:shd w:val="clear" w:color="auto" w:fill="auto"/>
            <w:vAlign w:val="center"/>
            <w:hideMark/>
          </w:tcPr>
          <w:p w14:paraId="5B18D9B3" w14:textId="66BEE40E" w:rsidR="000C1538" w:rsidRPr="00CF3958" w:rsidRDefault="000C1538" w:rsidP="000C1538">
            <w:pPr>
              <w:spacing w:after="0" w:line="240" w:lineRule="auto"/>
              <w:jc w:val="center"/>
              <w:rPr>
                <w:rFonts w:eastAsia="Times New Roman"/>
                <w:color w:val="000000"/>
                <w:sz w:val="20"/>
                <w:szCs w:val="20"/>
                <w:lang w:eastAsia="hr-HR"/>
              </w:rPr>
            </w:pPr>
            <w:r w:rsidRPr="00CF3958">
              <w:rPr>
                <w:rFonts w:eastAsia="Times New Roman"/>
                <w:color w:val="000000"/>
                <w:sz w:val="20"/>
                <w:szCs w:val="20"/>
                <w:lang w:eastAsia="hr-HR"/>
              </w:rPr>
              <w:t>23,51 %</w:t>
            </w:r>
          </w:p>
        </w:tc>
        <w:tc>
          <w:tcPr>
            <w:tcW w:w="1415" w:type="dxa"/>
            <w:tcBorders>
              <w:top w:val="nil"/>
              <w:left w:val="nil"/>
              <w:bottom w:val="nil"/>
              <w:right w:val="single" w:sz="8" w:space="0" w:color="auto"/>
            </w:tcBorders>
            <w:shd w:val="clear" w:color="auto" w:fill="auto"/>
            <w:noWrap/>
            <w:hideMark/>
          </w:tcPr>
          <w:p w14:paraId="63647FB1" w14:textId="0F7C7EF9"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325.000.000</w:t>
            </w:r>
          </w:p>
        </w:tc>
        <w:tc>
          <w:tcPr>
            <w:tcW w:w="1286" w:type="dxa"/>
            <w:tcBorders>
              <w:top w:val="nil"/>
              <w:left w:val="nil"/>
              <w:bottom w:val="nil"/>
              <w:right w:val="single" w:sz="8" w:space="0" w:color="auto"/>
            </w:tcBorders>
            <w:shd w:val="clear" w:color="auto" w:fill="auto"/>
            <w:noWrap/>
            <w:vAlign w:val="center"/>
            <w:hideMark/>
          </w:tcPr>
          <w:p w14:paraId="21839713"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0</w:t>
            </w:r>
          </w:p>
        </w:tc>
        <w:tc>
          <w:tcPr>
            <w:tcW w:w="1201" w:type="dxa"/>
            <w:tcBorders>
              <w:top w:val="nil"/>
              <w:left w:val="nil"/>
              <w:bottom w:val="nil"/>
              <w:right w:val="single" w:sz="8" w:space="0" w:color="auto"/>
            </w:tcBorders>
            <w:shd w:val="clear" w:color="auto" w:fill="auto"/>
            <w:noWrap/>
            <w:hideMark/>
          </w:tcPr>
          <w:p w14:paraId="50476B59" w14:textId="158AFFCC" w:rsidR="000C1538" w:rsidRPr="00CF3958" w:rsidRDefault="000C1538" w:rsidP="000C1538">
            <w:pPr>
              <w:spacing w:after="0" w:line="240" w:lineRule="auto"/>
              <w:jc w:val="right"/>
              <w:rPr>
                <w:rFonts w:eastAsia="Times New Roman"/>
                <w:color w:val="000000"/>
                <w:sz w:val="20"/>
                <w:szCs w:val="20"/>
                <w:lang w:eastAsia="hr-HR"/>
              </w:rPr>
            </w:pPr>
            <w:r w:rsidRPr="000C1538">
              <w:rPr>
                <w:rFonts w:eastAsia="Times New Roman"/>
                <w:color w:val="000000"/>
                <w:sz w:val="20"/>
                <w:szCs w:val="20"/>
                <w:lang w:eastAsia="hr-HR"/>
              </w:rPr>
              <w:t>10.057.396,97</w:t>
            </w:r>
          </w:p>
        </w:tc>
        <w:tc>
          <w:tcPr>
            <w:tcW w:w="1286" w:type="dxa"/>
            <w:tcBorders>
              <w:top w:val="nil"/>
              <w:left w:val="nil"/>
              <w:bottom w:val="nil"/>
              <w:right w:val="single" w:sz="8" w:space="0" w:color="auto"/>
            </w:tcBorders>
            <w:shd w:val="clear" w:color="auto" w:fill="auto"/>
            <w:noWrap/>
            <w:vAlign w:val="center"/>
            <w:hideMark/>
          </w:tcPr>
          <w:p w14:paraId="5EEE1F0E"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17.294.618,67</w:t>
            </w:r>
          </w:p>
        </w:tc>
        <w:tc>
          <w:tcPr>
            <w:tcW w:w="1709" w:type="dxa"/>
            <w:tcBorders>
              <w:top w:val="nil"/>
              <w:left w:val="nil"/>
              <w:bottom w:val="nil"/>
              <w:right w:val="single" w:sz="8" w:space="0" w:color="auto"/>
            </w:tcBorders>
            <w:shd w:val="clear" w:color="auto" w:fill="auto"/>
            <w:noWrap/>
            <w:vAlign w:val="center"/>
            <w:hideMark/>
          </w:tcPr>
          <w:p w14:paraId="702A413D" w14:textId="51D76372" w:rsidR="000C1538" w:rsidRPr="00CF3958" w:rsidRDefault="000C1538" w:rsidP="000C1538">
            <w:pPr>
              <w:spacing w:after="0" w:line="240" w:lineRule="auto"/>
              <w:jc w:val="right"/>
              <w:rPr>
                <w:rFonts w:eastAsia="Times New Roman"/>
                <w:color w:val="000000"/>
                <w:sz w:val="20"/>
                <w:szCs w:val="20"/>
                <w:lang w:eastAsia="hr-HR"/>
              </w:rPr>
            </w:pPr>
            <w:r w:rsidRPr="00D57D1F">
              <w:rPr>
                <w:rFonts w:eastAsia="Times New Roman"/>
                <w:color w:val="000000"/>
                <w:sz w:val="20"/>
                <w:szCs w:val="20"/>
                <w:lang w:eastAsia="hr-HR"/>
              </w:rPr>
              <w:t>27.352.015,64</w:t>
            </w:r>
          </w:p>
        </w:tc>
        <w:tc>
          <w:tcPr>
            <w:tcW w:w="1072" w:type="dxa"/>
            <w:tcBorders>
              <w:top w:val="nil"/>
              <w:left w:val="nil"/>
              <w:bottom w:val="single" w:sz="8" w:space="0" w:color="auto"/>
              <w:right w:val="single" w:sz="8" w:space="0" w:color="auto"/>
            </w:tcBorders>
            <w:shd w:val="clear" w:color="auto" w:fill="auto"/>
            <w:noWrap/>
            <w:vAlign w:val="center"/>
            <w:hideMark/>
          </w:tcPr>
          <w:p w14:paraId="2015A33E"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4,27</w:t>
            </w:r>
          </w:p>
        </w:tc>
        <w:tc>
          <w:tcPr>
            <w:tcW w:w="1286" w:type="dxa"/>
            <w:tcBorders>
              <w:top w:val="nil"/>
              <w:left w:val="nil"/>
              <w:bottom w:val="nil"/>
              <w:right w:val="single" w:sz="8" w:space="0" w:color="auto"/>
            </w:tcBorders>
            <w:shd w:val="clear" w:color="auto" w:fill="auto"/>
            <w:noWrap/>
            <w:vAlign w:val="center"/>
            <w:hideMark/>
          </w:tcPr>
          <w:p w14:paraId="79245285"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343.879.616,81</w:t>
            </w:r>
          </w:p>
        </w:tc>
        <w:tc>
          <w:tcPr>
            <w:tcW w:w="1415" w:type="dxa"/>
            <w:tcBorders>
              <w:top w:val="nil"/>
              <w:left w:val="nil"/>
              <w:bottom w:val="single" w:sz="8" w:space="0" w:color="auto"/>
              <w:right w:val="single" w:sz="8" w:space="0" w:color="auto"/>
            </w:tcBorders>
            <w:shd w:val="clear" w:color="auto" w:fill="auto"/>
            <w:noWrap/>
            <w:vAlign w:val="center"/>
            <w:hideMark/>
          </w:tcPr>
          <w:p w14:paraId="017E9FB9" w14:textId="77777777" w:rsidR="000C1538" w:rsidRPr="00CF3958" w:rsidRDefault="000C1538" w:rsidP="000C1538">
            <w:pPr>
              <w:spacing w:after="0" w:line="240" w:lineRule="auto"/>
              <w:jc w:val="right"/>
              <w:rPr>
                <w:rFonts w:eastAsia="Times New Roman"/>
                <w:color w:val="000000"/>
                <w:sz w:val="20"/>
                <w:szCs w:val="20"/>
                <w:lang w:eastAsia="hr-HR"/>
              </w:rPr>
            </w:pPr>
            <w:r w:rsidRPr="00CF3958">
              <w:rPr>
                <w:rFonts w:eastAsia="Times New Roman"/>
                <w:color w:val="000000"/>
                <w:sz w:val="20"/>
                <w:szCs w:val="20"/>
                <w:lang w:eastAsia="hr-HR"/>
              </w:rPr>
              <w:t>371.231.631,98</w:t>
            </w:r>
          </w:p>
        </w:tc>
      </w:tr>
      <w:tr w:rsidR="000C1538" w:rsidRPr="00D57D1F" w14:paraId="656E79B9" w14:textId="77777777" w:rsidTr="000C1538">
        <w:trPr>
          <w:trHeight w:val="265"/>
        </w:trPr>
        <w:tc>
          <w:tcPr>
            <w:tcW w:w="844" w:type="dxa"/>
            <w:tcBorders>
              <w:top w:val="single" w:sz="8" w:space="0" w:color="auto"/>
              <w:left w:val="single" w:sz="8" w:space="0" w:color="auto"/>
              <w:bottom w:val="single" w:sz="8" w:space="0" w:color="auto"/>
              <w:right w:val="single" w:sz="8" w:space="0" w:color="auto"/>
            </w:tcBorders>
            <w:shd w:val="clear" w:color="000000" w:fill="9BC2E6"/>
            <w:noWrap/>
            <w:vAlign w:val="center"/>
            <w:hideMark/>
          </w:tcPr>
          <w:p w14:paraId="3FBDB47E" w14:textId="77777777" w:rsidR="000C1538" w:rsidRPr="00CF3958" w:rsidRDefault="000C1538" w:rsidP="000C1538">
            <w:pPr>
              <w:spacing w:after="0" w:line="240" w:lineRule="auto"/>
              <w:jc w:val="left"/>
              <w:rPr>
                <w:rFonts w:eastAsia="Times New Roman"/>
                <w:b/>
                <w:bCs/>
                <w:color w:val="000000"/>
                <w:sz w:val="20"/>
                <w:szCs w:val="20"/>
                <w:lang w:eastAsia="hr-HR"/>
              </w:rPr>
            </w:pPr>
            <w:r w:rsidRPr="00CF3958">
              <w:rPr>
                <w:rFonts w:eastAsia="Times New Roman"/>
                <w:b/>
                <w:bCs/>
                <w:color w:val="000000"/>
                <w:sz w:val="20"/>
                <w:szCs w:val="20"/>
                <w:lang w:eastAsia="hr-HR"/>
              </w:rPr>
              <w:t> </w:t>
            </w:r>
          </w:p>
        </w:tc>
        <w:tc>
          <w:tcPr>
            <w:tcW w:w="1425" w:type="dxa"/>
            <w:tcBorders>
              <w:top w:val="single" w:sz="8" w:space="0" w:color="auto"/>
              <w:left w:val="nil"/>
              <w:bottom w:val="nil"/>
              <w:right w:val="double" w:sz="6" w:space="0" w:color="auto"/>
            </w:tcBorders>
            <w:shd w:val="clear" w:color="000000" w:fill="9BC2E6"/>
            <w:noWrap/>
            <w:vAlign w:val="center"/>
            <w:hideMark/>
          </w:tcPr>
          <w:p w14:paraId="6BC2169E" w14:textId="77777777" w:rsidR="000C1538" w:rsidRPr="00CF3958" w:rsidRDefault="000C1538" w:rsidP="000C1538">
            <w:pPr>
              <w:spacing w:after="0" w:line="240" w:lineRule="auto"/>
              <w:ind w:firstLineChars="100" w:firstLine="200"/>
              <w:jc w:val="right"/>
              <w:rPr>
                <w:rFonts w:eastAsia="Times New Roman"/>
                <w:b/>
                <w:bCs/>
                <w:color w:val="000000"/>
                <w:sz w:val="20"/>
                <w:szCs w:val="20"/>
                <w:lang w:eastAsia="hr-HR"/>
              </w:rPr>
            </w:pPr>
            <w:r w:rsidRPr="00CF3958">
              <w:rPr>
                <w:rFonts w:eastAsia="Times New Roman"/>
                <w:b/>
                <w:bCs/>
                <w:color w:val="000000"/>
                <w:sz w:val="20"/>
                <w:szCs w:val="20"/>
                <w:lang w:eastAsia="hr-HR"/>
              </w:rPr>
              <w:t>UKUPNO</w:t>
            </w:r>
          </w:p>
        </w:tc>
        <w:tc>
          <w:tcPr>
            <w:tcW w:w="1415" w:type="dxa"/>
            <w:tcBorders>
              <w:top w:val="single" w:sz="8" w:space="0" w:color="auto"/>
              <w:left w:val="nil"/>
              <w:bottom w:val="single" w:sz="8" w:space="0" w:color="auto"/>
              <w:right w:val="single" w:sz="8" w:space="0" w:color="auto"/>
            </w:tcBorders>
            <w:shd w:val="clear" w:color="000000" w:fill="9BC2E6"/>
            <w:noWrap/>
            <w:vAlign w:val="center"/>
            <w:hideMark/>
          </w:tcPr>
          <w:p w14:paraId="0FEAAB3B" w14:textId="77777777"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1.510.000.000</w:t>
            </w:r>
          </w:p>
        </w:tc>
        <w:tc>
          <w:tcPr>
            <w:tcW w:w="1034" w:type="dxa"/>
            <w:tcBorders>
              <w:top w:val="single" w:sz="8" w:space="0" w:color="auto"/>
              <w:left w:val="nil"/>
              <w:bottom w:val="single" w:sz="8" w:space="0" w:color="auto"/>
              <w:right w:val="double" w:sz="6" w:space="0" w:color="auto"/>
            </w:tcBorders>
            <w:shd w:val="clear" w:color="000000" w:fill="9BC2E6"/>
            <w:vAlign w:val="center"/>
            <w:hideMark/>
          </w:tcPr>
          <w:p w14:paraId="38B7A56A" w14:textId="77777777" w:rsidR="000C1538" w:rsidRPr="00CF3958" w:rsidRDefault="000C1538" w:rsidP="000C1538">
            <w:pPr>
              <w:spacing w:after="0" w:line="240" w:lineRule="auto"/>
              <w:jc w:val="center"/>
              <w:rPr>
                <w:rFonts w:eastAsia="Times New Roman"/>
                <w:b/>
                <w:bCs/>
                <w:color w:val="000000"/>
                <w:sz w:val="20"/>
                <w:szCs w:val="20"/>
                <w:lang w:eastAsia="hr-HR"/>
              </w:rPr>
            </w:pPr>
            <w:r w:rsidRPr="00CF3958">
              <w:rPr>
                <w:rFonts w:eastAsia="Times New Roman"/>
                <w:b/>
                <w:bCs/>
                <w:color w:val="000000"/>
                <w:sz w:val="20"/>
                <w:szCs w:val="20"/>
                <w:lang w:eastAsia="hr-HR"/>
              </w:rPr>
              <w:t>100%</w:t>
            </w:r>
          </w:p>
        </w:tc>
        <w:tc>
          <w:tcPr>
            <w:tcW w:w="1415" w:type="dxa"/>
            <w:tcBorders>
              <w:top w:val="single" w:sz="8" w:space="0" w:color="auto"/>
              <w:left w:val="nil"/>
              <w:bottom w:val="single" w:sz="8" w:space="0" w:color="auto"/>
              <w:right w:val="single" w:sz="8" w:space="0" w:color="auto"/>
            </w:tcBorders>
            <w:shd w:val="clear" w:color="000000" w:fill="9BC2E6"/>
            <w:noWrap/>
            <w:hideMark/>
          </w:tcPr>
          <w:p w14:paraId="7851A913" w14:textId="7FC8C281" w:rsidR="000C1538" w:rsidRPr="000C1538" w:rsidRDefault="000C1538" w:rsidP="000C1538">
            <w:pPr>
              <w:spacing w:after="0" w:line="240" w:lineRule="auto"/>
              <w:jc w:val="right"/>
              <w:rPr>
                <w:rFonts w:eastAsia="Times New Roman"/>
                <w:b/>
                <w:bCs/>
                <w:color w:val="000000"/>
                <w:sz w:val="20"/>
                <w:szCs w:val="20"/>
                <w:lang w:eastAsia="hr-HR"/>
              </w:rPr>
            </w:pPr>
            <w:r w:rsidRPr="000C1538">
              <w:rPr>
                <w:b/>
                <w:sz w:val="20"/>
                <w:szCs w:val="20"/>
              </w:rPr>
              <w:t>1.510.000.000</w:t>
            </w:r>
          </w:p>
        </w:tc>
        <w:tc>
          <w:tcPr>
            <w:tcW w:w="1286" w:type="dxa"/>
            <w:tcBorders>
              <w:top w:val="single" w:sz="8" w:space="0" w:color="auto"/>
              <w:left w:val="nil"/>
              <w:bottom w:val="single" w:sz="8" w:space="0" w:color="auto"/>
              <w:right w:val="single" w:sz="8" w:space="0" w:color="auto"/>
            </w:tcBorders>
            <w:shd w:val="clear" w:color="000000" w:fill="9BC2E6"/>
            <w:noWrap/>
            <w:vAlign w:val="center"/>
            <w:hideMark/>
          </w:tcPr>
          <w:p w14:paraId="6FD0285F" w14:textId="22783DB5"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215.937.947,39</w:t>
            </w:r>
          </w:p>
        </w:tc>
        <w:tc>
          <w:tcPr>
            <w:tcW w:w="1201" w:type="dxa"/>
            <w:tcBorders>
              <w:top w:val="single" w:sz="8" w:space="0" w:color="auto"/>
              <w:left w:val="nil"/>
              <w:bottom w:val="single" w:sz="8" w:space="0" w:color="auto"/>
              <w:right w:val="single" w:sz="8" w:space="0" w:color="auto"/>
            </w:tcBorders>
            <w:shd w:val="clear" w:color="000000" w:fill="9BC2E6"/>
            <w:noWrap/>
            <w:hideMark/>
          </w:tcPr>
          <w:p w14:paraId="1FA9C910" w14:textId="2FBDD152" w:rsidR="000C1538" w:rsidRPr="00706F1E" w:rsidRDefault="000C1538" w:rsidP="000C1538">
            <w:pPr>
              <w:spacing w:after="0" w:line="240" w:lineRule="auto"/>
              <w:jc w:val="right"/>
              <w:rPr>
                <w:rFonts w:eastAsia="Times New Roman"/>
                <w:b/>
                <w:color w:val="000000"/>
                <w:sz w:val="20"/>
                <w:szCs w:val="20"/>
                <w:lang w:eastAsia="hr-HR"/>
              </w:rPr>
            </w:pPr>
            <w:r w:rsidRPr="00706F1E">
              <w:rPr>
                <w:rFonts w:eastAsia="Times New Roman"/>
                <w:b/>
                <w:color w:val="000000"/>
                <w:sz w:val="20"/>
                <w:szCs w:val="20"/>
                <w:lang w:eastAsia="hr-HR"/>
              </w:rPr>
              <w:t>99.146.772,29</w:t>
            </w:r>
          </w:p>
        </w:tc>
        <w:tc>
          <w:tcPr>
            <w:tcW w:w="1286" w:type="dxa"/>
            <w:tcBorders>
              <w:top w:val="single" w:sz="8" w:space="0" w:color="auto"/>
              <w:left w:val="nil"/>
              <w:bottom w:val="single" w:sz="8" w:space="0" w:color="auto"/>
              <w:right w:val="single" w:sz="8" w:space="0" w:color="auto"/>
            </w:tcBorders>
            <w:shd w:val="clear" w:color="000000" w:fill="9BC2E6"/>
            <w:noWrap/>
            <w:vAlign w:val="center"/>
            <w:hideMark/>
          </w:tcPr>
          <w:p w14:paraId="4F932ABA" w14:textId="26246749" w:rsidR="000C1538" w:rsidRPr="00CF3958" w:rsidRDefault="000C1538" w:rsidP="000C153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324.750.891,</w:t>
            </w:r>
            <w:r>
              <w:rPr>
                <w:rFonts w:eastAsia="Times New Roman"/>
                <w:b/>
                <w:bCs/>
                <w:color w:val="000000"/>
                <w:sz w:val="20"/>
                <w:szCs w:val="20"/>
                <w:lang w:eastAsia="hr-HR"/>
              </w:rPr>
              <w:t>48</w:t>
            </w:r>
          </w:p>
        </w:tc>
        <w:tc>
          <w:tcPr>
            <w:tcW w:w="1709" w:type="dxa"/>
            <w:tcBorders>
              <w:top w:val="single" w:sz="8" w:space="0" w:color="auto"/>
              <w:left w:val="nil"/>
              <w:bottom w:val="single" w:sz="8" w:space="0" w:color="auto"/>
              <w:right w:val="single" w:sz="8" w:space="0" w:color="auto"/>
            </w:tcBorders>
            <w:shd w:val="clear" w:color="000000" w:fill="9BC2E6"/>
            <w:noWrap/>
            <w:vAlign w:val="center"/>
            <w:hideMark/>
          </w:tcPr>
          <w:p w14:paraId="5BDAF916" w14:textId="0779ADA3" w:rsidR="000C1538" w:rsidRPr="00706F1E" w:rsidRDefault="000C1538" w:rsidP="000C1538">
            <w:pPr>
              <w:spacing w:after="0" w:line="240" w:lineRule="auto"/>
              <w:jc w:val="right"/>
              <w:rPr>
                <w:rFonts w:eastAsia="Times New Roman"/>
                <w:b/>
                <w:color w:val="000000"/>
                <w:sz w:val="20"/>
                <w:szCs w:val="20"/>
                <w:lang w:eastAsia="hr-HR"/>
              </w:rPr>
            </w:pPr>
            <w:r w:rsidRPr="00706F1E">
              <w:rPr>
                <w:rFonts w:eastAsia="Times New Roman"/>
                <w:b/>
                <w:color w:val="000000"/>
                <w:sz w:val="20"/>
                <w:szCs w:val="20"/>
                <w:lang w:eastAsia="hr-HR"/>
              </w:rPr>
              <w:t>639.835.611,16</w:t>
            </w:r>
          </w:p>
        </w:tc>
        <w:tc>
          <w:tcPr>
            <w:tcW w:w="1072" w:type="dxa"/>
            <w:tcBorders>
              <w:top w:val="nil"/>
              <w:left w:val="nil"/>
              <w:bottom w:val="single" w:sz="8" w:space="0" w:color="auto"/>
              <w:right w:val="single" w:sz="8" w:space="0" w:color="auto"/>
            </w:tcBorders>
            <w:shd w:val="clear" w:color="000000" w:fill="9BC2E6"/>
            <w:noWrap/>
            <w:vAlign w:val="center"/>
            <w:hideMark/>
          </w:tcPr>
          <w:p w14:paraId="7A92A0D2" w14:textId="77777777" w:rsidR="000C1538" w:rsidRPr="00706F1E" w:rsidRDefault="000C1538" w:rsidP="000C1538">
            <w:pPr>
              <w:spacing w:after="0" w:line="240" w:lineRule="auto"/>
              <w:jc w:val="right"/>
              <w:rPr>
                <w:rFonts w:eastAsia="Times New Roman"/>
                <w:b/>
                <w:color w:val="000000"/>
                <w:sz w:val="20"/>
                <w:szCs w:val="20"/>
                <w:lang w:eastAsia="hr-HR"/>
              </w:rPr>
            </w:pPr>
            <w:r w:rsidRPr="00706F1E">
              <w:rPr>
                <w:rFonts w:eastAsia="Times New Roman"/>
                <w:b/>
                <w:color w:val="000000"/>
                <w:sz w:val="20"/>
                <w:szCs w:val="20"/>
                <w:lang w:eastAsia="hr-HR"/>
              </w:rPr>
              <w:t>100,00</w:t>
            </w:r>
          </w:p>
        </w:tc>
        <w:tc>
          <w:tcPr>
            <w:tcW w:w="1286" w:type="dxa"/>
            <w:tcBorders>
              <w:top w:val="single" w:sz="8" w:space="0" w:color="auto"/>
              <w:left w:val="nil"/>
              <w:bottom w:val="single" w:sz="8" w:space="0" w:color="auto"/>
              <w:right w:val="single" w:sz="8" w:space="0" w:color="auto"/>
            </w:tcBorders>
            <w:shd w:val="clear" w:color="000000" w:fill="9BC2E6"/>
            <w:noWrap/>
            <w:vAlign w:val="center"/>
            <w:hideMark/>
          </w:tcPr>
          <w:p w14:paraId="6630A4B4" w14:textId="77777777" w:rsidR="000C1538" w:rsidRPr="00706F1E" w:rsidRDefault="000C1538" w:rsidP="000C1538">
            <w:pPr>
              <w:spacing w:after="0" w:line="240" w:lineRule="auto"/>
              <w:jc w:val="right"/>
              <w:rPr>
                <w:rFonts w:eastAsia="Times New Roman"/>
                <w:b/>
                <w:color w:val="000000"/>
                <w:sz w:val="20"/>
                <w:szCs w:val="20"/>
                <w:lang w:eastAsia="hr-HR"/>
              </w:rPr>
            </w:pPr>
            <w:r w:rsidRPr="00706F1E">
              <w:rPr>
                <w:rFonts w:eastAsia="Times New Roman"/>
                <w:b/>
                <w:color w:val="000000"/>
                <w:sz w:val="20"/>
                <w:szCs w:val="20"/>
                <w:lang w:eastAsia="hr-HR"/>
              </w:rPr>
              <w:t>895.508.452,92</w:t>
            </w:r>
          </w:p>
        </w:tc>
        <w:tc>
          <w:tcPr>
            <w:tcW w:w="1415" w:type="dxa"/>
            <w:tcBorders>
              <w:top w:val="nil"/>
              <w:left w:val="nil"/>
              <w:bottom w:val="single" w:sz="8" w:space="0" w:color="auto"/>
              <w:right w:val="single" w:sz="8" w:space="0" w:color="auto"/>
            </w:tcBorders>
            <w:shd w:val="clear" w:color="000000" w:fill="9BC2E6"/>
            <w:noWrap/>
            <w:vAlign w:val="center"/>
            <w:hideMark/>
          </w:tcPr>
          <w:p w14:paraId="732B7683" w14:textId="0CDDE01E" w:rsidR="000C1538" w:rsidRPr="00706F1E" w:rsidRDefault="000C1538" w:rsidP="00706F1E">
            <w:pPr>
              <w:spacing w:after="0" w:line="240" w:lineRule="auto"/>
              <w:jc w:val="right"/>
              <w:rPr>
                <w:rFonts w:eastAsia="Times New Roman"/>
                <w:b/>
                <w:color w:val="000000"/>
                <w:sz w:val="20"/>
                <w:szCs w:val="20"/>
                <w:lang w:eastAsia="hr-HR"/>
              </w:rPr>
            </w:pPr>
            <w:r w:rsidRPr="00706F1E">
              <w:rPr>
                <w:rFonts w:eastAsia="Times New Roman"/>
                <w:b/>
                <w:color w:val="000000"/>
                <w:sz w:val="20"/>
                <w:szCs w:val="20"/>
                <w:lang w:eastAsia="hr-HR"/>
              </w:rPr>
              <w:t>1.535.344.</w:t>
            </w:r>
            <w:r w:rsidR="00706F1E">
              <w:rPr>
                <w:rFonts w:eastAsia="Times New Roman"/>
                <w:b/>
                <w:color w:val="000000"/>
                <w:sz w:val="20"/>
                <w:szCs w:val="20"/>
                <w:lang w:eastAsia="hr-HR"/>
              </w:rPr>
              <w:t>064,08</w:t>
            </w:r>
          </w:p>
        </w:tc>
      </w:tr>
      <w:tr w:rsidR="009524A4" w:rsidRPr="00CF3958" w14:paraId="49A10AA0" w14:textId="77777777" w:rsidTr="000C1538">
        <w:trPr>
          <w:trHeight w:val="519"/>
        </w:trPr>
        <w:tc>
          <w:tcPr>
            <w:tcW w:w="844" w:type="dxa"/>
            <w:vMerge w:val="restart"/>
            <w:tcBorders>
              <w:top w:val="nil"/>
              <w:left w:val="nil"/>
              <w:right w:val="nil"/>
            </w:tcBorders>
            <w:shd w:val="clear" w:color="auto" w:fill="auto"/>
            <w:noWrap/>
            <w:vAlign w:val="bottom"/>
            <w:hideMark/>
          </w:tcPr>
          <w:p w14:paraId="5A408B0B" w14:textId="77777777" w:rsidR="00425428" w:rsidRPr="00CF3958" w:rsidRDefault="00425428" w:rsidP="00425428">
            <w:pPr>
              <w:spacing w:after="0" w:line="240" w:lineRule="auto"/>
              <w:jc w:val="right"/>
              <w:rPr>
                <w:rFonts w:eastAsia="Times New Roman"/>
                <w:b/>
                <w:bCs/>
                <w:color w:val="000000"/>
                <w:sz w:val="20"/>
                <w:szCs w:val="20"/>
                <w:lang w:eastAsia="hr-HR"/>
              </w:rPr>
            </w:pPr>
          </w:p>
        </w:tc>
        <w:tc>
          <w:tcPr>
            <w:tcW w:w="1425"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792300DB" w14:textId="77777777" w:rsidR="00425428" w:rsidRPr="00CF3958" w:rsidRDefault="00425428" w:rsidP="0042542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Ukupno uprihođeno</w:t>
            </w:r>
          </w:p>
        </w:tc>
        <w:tc>
          <w:tcPr>
            <w:tcW w:w="1415" w:type="dxa"/>
            <w:tcBorders>
              <w:top w:val="nil"/>
              <w:left w:val="nil"/>
              <w:bottom w:val="single" w:sz="8" w:space="0" w:color="auto"/>
              <w:right w:val="single" w:sz="8" w:space="0" w:color="auto"/>
            </w:tcBorders>
            <w:shd w:val="clear" w:color="000000" w:fill="9BC2E6"/>
            <w:noWrap/>
            <w:vAlign w:val="center"/>
            <w:hideMark/>
          </w:tcPr>
          <w:p w14:paraId="4EE4C5EC" w14:textId="77777777" w:rsidR="00425428" w:rsidRPr="00CF3958" w:rsidRDefault="00425428" w:rsidP="0042542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1.724.799.274,06</w:t>
            </w:r>
          </w:p>
        </w:tc>
        <w:tc>
          <w:tcPr>
            <w:tcW w:w="11704" w:type="dxa"/>
            <w:gridSpan w:val="9"/>
            <w:vMerge w:val="restart"/>
            <w:tcBorders>
              <w:top w:val="nil"/>
              <w:left w:val="nil"/>
              <w:right w:val="nil"/>
            </w:tcBorders>
            <w:shd w:val="clear" w:color="auto" w:fill="auto"/>
            <w:noWrap/>
            <w:vAlign w:val="bottom"/>
            <w:hideMark/>
          </w:tcPr>
          <w:p w14:paraId="10207E7C" w14:textId="77777777" w:rsidR="00425428" w:rsidRPr="00CF3958" w:rsidRDefault="00425428" w:rsidP="00425428">
            <w:pPr>
              <w:spacing w:after="0" w:line="240" w:lineRule="auto"/>
              <w:jc w:val="left"/>
              <w:rPr>
                <w:rFonts w:eastAsia="Times New Roman"/>
                <w:sz w:val="20"/>
                <w:szCs w:val="20"/>
                <w:lang w:eastAsia="hr-HR"/>
              </w:rPr>
            </w:pPr>
          </w:p>
        </w:tc>
      </w:tr>
      <w:tr w:rsidR="009524A4" w:rsidRPr="00CF3958" w14:paraId="047AA973" w14:textId="77777777" w:rsidTr="000C1538">
        <w:trPr>
          <w:trHeight w:val="774"/>
        </w:trPr>
        <w:tc>
          <w:tcPr>
            <w:tcW w:w="844" w:type="dxa"/>
            <w:vMerge/>
            <w:tcBorders>
              <w:left w:val="nil"/>
              <w:bottom w:val="nil"/>
              <w:right w:val="nil"/>
            </w:tcBorders>
            <w:shd w:val="clear" w:color="auto" w:fill="auto"/>
            <w:noWrap/>
            <w:vAlign w:val="bottom"/>
            <w:hideMark/>
          </w:tcPr>
          <w:p w14:paraId="42218314" w14:textId="77777777" w:rsidR="00425428" w:rsidRPr="00CF3958" w:rsidRDefault="00425428" w:rsidP="00425428">
            <w:pPr>
              <w:spacing w:after="0" w:line="240" w:lineRule="auto"/>
              <w:jc w:val="left"/>
              <w:rPr>
                <w:rFonts w:eastAsia="Times New Roman"/>
                <w:sz w:val="20"/>
                <w:szCs w:val="20"/>
                <w:lang w:eastAsia="hr-HR"/>
              </w:rPr>
            </w:pPr>
          </w:p>
        </w:tc>
        <w:tc>
          <w:tcPr>
            <w:tcW w:w="1425" w:type="dxa"/>
            <w:tcBorders>
              <w:top w:val="nil"/>
              <w:left w:val="single" w:sz="8" w:space="0" w:color="auto"/>
              <w:bottom w:val="single" w:sz="8" w:space="0" w:color="auto"/>
              <w:right w:val="single" w:sz="8" w:space="0" w:color="auto"/>
            </w:tcBorders>
            <w:shd w:val="clear" w:color="000000" w:fill="9BC2E6"/>
            <w:vAlign w:val="center"/>
            <w:hideMark/>
          </w:tcPr>
          <w:p w14:paraId="1AAE5FC6" w14:textId="77777777" w:rsidR="00425428" w:rsidRPr="00CF3958" w:rsidRDefault="00425428" w:rsidP="0042542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Preostali iznos prenesen u novi plan</w:t>
            </w:r>
          </w:p>
        </w:tc>
        <w:tc>
          <w:tcPr>
            <w:tcW w:w="1415" w:type="dxa"/>
            <w:tcBorders>
              <w:top w:val="nil"/>
              <w:left w:val="nil"/>
              <w:bottom w:val="single" w:sz="8" w:space="0" w:color="auto"/>
              <w:right w:val="single" w:sz="8" w:space="0" w:color="auto"/>
            </w:tcBorders>
            <w:shd w:val="clear" w:color="000000" w:fill="9BC2E6"/>
            <w:noWrap/>
            <w:vAlign w:val="center"/>
            <w:hideMark/>
          </w:tcPr>
          <w:p w14:paraId="2E9CE9AD" w14:textId="77777777" w:rsidR="00425428" w:rsidRPr="00CF3958" w:rsidRDefault="00425428" w:rsidP="00425428">
            <w:pPr>
              <w:spacing w:after="0" w:line="240" w:lineRule="auto"/>
              <w:jc w:val="right"/>
              <w:rPr>
                <w:rFonts w:eastAsia="Times New Roman"/>
                <w:b/>
                <w:bCs/>
                <w:color w:val="000000"/>
                <w:sz w:val="20"/>
                <w:szCs w:val="20"/>
                <w:lang w:eastAsia="hr-HR"/>
              </w:rPr>
            </w:pPr>
            <w:r w:rsidRPr="00CF3958">
              <w:rPr>
                <w:rFonts w:eastAsia="Times New Roman"/>
                <w:b/>
                <w:bCs/>
                <w:color w:val="000000"/>
                <w:sz w:val="20"/>
                <w:szCs w:val="20"/>
                <w:lang w:eastAsia="hr-HR"/>
              </w:rPr>
              <w:t>189.455.210,66</w:t>
            </w:r>
          </w:p>
        </w:tc>
        <w:tc>
          <w:tcPr>
            <w:tcW w:w="11704" w:type="dxa"/>
            <w:gridSpan w:val="9"/>
            <w:vMerge/>
            <w:tcBorders>
              <w:left w:val="nil"/>
              <w:bottom w:val="nil"/>
              <w:right w:val="nil"/>
            </w:tcBorders>
            <w:shd w:val="clear" w:color="auto" w:fill="auto"/>
            <w:noWrap/>
            <w:vAlign w:val="bottom"/>
            <w:hideMark/>
          </w:tcPr>
          <w:p w14:paraId="1493C85F" w14:textId="77777777" w:rsidR="00425428" w:rsidRPr="00CF3958" w:rsidRDefault="00425428" w:rsidP="00425428">
            <w:pPr>
              <w:spacing w:after="0" w:line="240" w:lineRule="auto"/>
              <w:jc w:val="left"/>
              <w:rPr>
                <w:rFonts w:eastAsia="Times New Roman"/>
                <w:sz w:val="20"/>
                <w:szCs w:val="20"/>
                <w:lang w:eastAsia="hr-HR"/>
              </w:rPr>
            </w:pPr>
          </w:p>
        </w:tc>
      </w:tr>
    </w:tbl>
    <w:p w14:paraId="3B3A4ADC" w14:textId="77777777" w:rsidR="00332CA1" w:rsidRPr="00DD1154" w:rsidRDefault="00332CA1" w:rsidP="007157AC">
      <w:pPr>
        <w:spacing w:after="0" w:line="240" w:lineRule="auto"/>
        <w:rPr>
          <w:b/>
        </w:rPr>
      </w:pPr>
    </w:p>
    <w:p w14:paraId="71F7FD73" w14:textId="78687B3C" w:rsidR="00332CA1" w:rsidRPr="00DD1154" w:rsidRDefault="00332CA1" w:rsidP="00661B29">
      <w:pPr>
        <w:spacing w:after="0" w:line="240" w:lineRule="auto"/>
        <w:sectPr w:rsidR="00332CA1" w:rsidRPr="00DD1154" w:rsidSect="005B4F89">
          <w:headerReference w:type="default" r:id="rId15"/>
          <w:footerReference w:type="default" r:id="rId16"/>
          <w:pgSz w:w="16838" w:h="11906" w:orient="landscape" w:code="9"/>
          <w:pgMar w:top="720" w:right="720" w:bottom="720" w:left="720" w:header="708" w:footer="708" w:gutter="0"/>
          <w:cols w:space="708"/>
          <w:docGrid w:linePitch="360"/>
        </w:sectPr>
      </w:pPr>
    </w:p>
    <w:p w14:paraId="1B80E186" w14:textId="5120CA26" w:rsidR="00CB3FFA" w:rsidRPr="00DD1154" w:rsidRDefault="00CB3FFA" w:rsidP="00661B29">
      <w:pPr>
        <w:spacing w:after="0" w:line="240" w:lineRule="auto"/>
      </w:pPr>
    </w:p>
    <w:p w14:paraId="683AF516" w14:textId="606776A3" w:rsidR="00A10ADD" w:rsidRPr="00DD1154" w:rsidRDefault="00A10ADD" w:rsidP="000F11BE">
      <w:pPr>
        <w:spacing w:before="60" w:after="60" w:line="240" w:lineRule="auto"/>
        <w:rPr>
          <w:rFonts w:eastAsia="Times New Roman"/>
          <w:b/>
          <w:lang w:eastAsia="hr-HR"/>
        </w:rPr>
      </w:pPr>
      <w:r w:rsidRPr="00DD1154">
        <w:rPr>
          <w:i/>
        </w:rPr>
        <w:t xml:space="preserve">Prilog 2.: </w:t>
      </w:r>
      <w:r w:rsidRPr="00DD1154">
        <w:rPr>
          <w:rFonts w:eastAsia="Times New Roman"/>
          <w:b/>
          <w:lang w:eastAsia="hr-HR"/>
        </w:rPr>
        <w:t xml:space="preserve">Rekapitulacija Plana korištenja financijskih sredstava dobivenih od prodaje emisijskih jedinica putem dražbi u Republici Hrvatskoj do 2020. </w:t>
      </w:r>
      <w:r w:rsidRPr="00DD1154">
        <w:rPr>
          <w:rFonts w:eastAsia="Times New Roman"/>
          <w:b/>
          <w:lang w:eastAsia="hr-HR"/>
        </w:rPr>
        <w:tab/>
        <w:t xml:space="preserve">     godine</w:t>
      </w:r>
    </w:p>
    <w:tbl>
      <w:tblPr>
        <w:tblStyle w:val="TableGrid"/>
        <w:tblW w:w="0" w:type="auto"/>
        <w:jc w:val="center"/>
        <w:tblLook w:val="04A0" w:firstRow="1" w:lastRow="0" w:firstColumn="1" w:lastColumn="0" w:noHBand="0" w:noVBand="1"/>
      </w:tblPr>
      <w:tblGrid>
        <w:gridCol w:w="2564"/>
        <w:gridCol w:w="2564"/>
        <w:gridCol w:w="2664"/>
        <w:gridCol w:w="2466"/>
        <w:gridCol w:w="2565"/>
        <w:gridCol w:w="2481"/>
      </w:tblGrid>
      <w:tr w:rsidR="00CD308A" w:rsidRPr="00DD1154" w14:paraId="686E3D19" w14:textId="77777777" w:rsidTr="00485B28">
        <w:trPr>
          <w:jc w:val="center"/>
        </w:trPr>
        <w:tc>
          <w:tcPr>
            <w:tcW w:w="2564" w:type="dxa"/>
            <w:shd w:val="clear" w:color="auto" w:fill="C6D9F1" w:themeFill="text2" w:themeFillTint="33"/>
          </w:tcPr>
          <w:p w14:paraId="0368048B" w14:textId="4FE06E4E" w:rsidR="00CD308A" w:rsidRPr="00DD1154" w:rsidRDefault="00CD308A" w:rsidP="00512AE3">
            <w:pPr>
              <w:spacing w:before="60" w:after="60"/>
              <w:jc w:val="left"/>
              <w:rPr>
                <w:b/>
                <w:bCs/>
              </w:rPr>
            </w:pPr>
            <w:r w:rsidRPr="00DD1154">
              <w:rPr>
                <w:b/>
                <w:bCs/>
              </w:rPr>
              <w:t>Financijska sredstva dobivena od prodaje emisijskih jedinica st</w:t>
            </w:r>
            <w:r w:rsidR="00D6631A" w:rsidRPr="00DD1154">
              <w:rPr>
                <w:b/>
                <w:bCs/>
              </w:rPr>
              <w:t>akleničkih plinova putem dražbi</w:t>
            </w:r>
          </w:p>
        </w:tc>
        <w:tc>
          <w:tcPr>
            <w:tcW w:w="2564" w:type="dxa"/>
            <w:shd w:val="clear" w:color="auto" w:fill="C6D9F1" w:themeFill="text2" w:themeFillTint="33"/>
            <w:vAlign w:val="center"/>
          </w:tcPr>
          <w:p w14:paraId="4882EAD0" w14:textId="0245C7FA" w:rsidR="00CD308A" w:rsidRPr="00DD1154" w:rsidRDefault="00CD308A" w:rsidP="00512AE3">
            <w:pPr>
              <w:spacing w:before="60" w:after="60"/>
              <w:jc w:val="center"/>
              <w:rPr>
                <w:b/>
                <w:bCs/>
              </w:rPr>
            </w:pPr>
            <w:r w:rsidRPr="00DD1154">
              <w:rPr>
                <w:b/>
                <w:bCs/>
              </w:rPr>
              <w:t>2017.</w:t>
            </w:r>
          </w:p>
        </w:tc>
        <w:tc>
          <w:tcPr>
            <w:tcW w:w="2664" w:type="dxa"/>
            <w:shd w:val="clear" w:color="auto" w:fill="C6D9F1" w:themeFill="text2" w:themeFillTint="33"/>
            <w:vAlign w:val="center"/>
          </w:tcPr>
          <w:p w14:paraId="61770EBE" w14:textId="4A157FB6" w:rsidR="00CD308A" w:rsidRPr="00DD1154" w:rsidRDefault="00CD308A" w:rsidP="00512AE3">
            <w:pPr>
              <w:spacing w:before="60" w:after="60"/>
              <w:jc w:val="center"/>
              <w:rPr>
                <w:b/>
                <w:bCs/>
              </w:rPr>
            </w:pPr>
            <w:r w:rsidRPr="00DD1154">
              <w:rPr>
                <w:b/>
                <w:bCs/>
              </w:rPr>
              <w:t>2018.</w:t>
            </w:r>
          </w:p>
        </w:tc>
        <w:tc>
          <w:tcPr>
            <w:tcW w:w="2466" w:type="dxa"/>
            <w:shd w:val="clear" w:color="auto" w:fill="C6D9F1" w:themeFill="text2" w:themeFillTint="33"/>
            <w:vAlign w:val="center"/>
          </w:tcPr>
          <w:p w14:paraId="2F7D7F6B" w14:textId="35D1444F" w:rsidR="00CD308A" w:rsidRPr="00DD1154" w:rsidRDefault="00CD308A" w:rsidP="00512AE3">
            <w:pPr>
              <w:spacing w:before="60" w:after="60"/>
              <w:jc w:val="center"/>
              <w:rPr>
                <w:b/>
                <w:bCs/>
              </w:rPr>
            </w:pPr>
            <w:r w:rsidRPr="00DD1154">
              <w:rPr>
                <w:b/>
                <w:bCs/>
              </w:rPr>
              <w:t>2019.</w:t>
            </w:r>
          </w:p>
        </w:tc>
        <w:tc>
          <w:tcPr>
            <w:tcW w:w="2565" w:type="dxa"/>
            <w:shd w:val="clear" w:color="auto" w:fill="C6D9F1" w:themeFill="text2" w:themeFillTint="33"/>
            <w:vAlign w:val="center"/>
          </w:tcPr>
          <w:p w14:paraId="7C8DF107" w14:textId="3836575A" w:rsidR="00CD308A" w:rsidRPr="00DD1154" w:rsidRDefault="00CD308A" w:rsidP="00512AE3">
            <w:pPr>
              <w:spacing w:before="60" w:after="60"/>
              <w:jc w:val="center"/>
              <w:rPr>
                <w:b/>
                <w:bCs/>
              </w:rPr>
            </w:pPr>
            <w:r w:rsidRPr="00DD1154">
              <w:rPr>
                <w:b/>
                <w:bCs/>
              </w:rPr>
              <w:t>2020.</w:t>
            </w:r>
          </w:p>
        </w:tc>
        <w:tc>
          <w:tcPr>
            <w:tcW w:w="2481" w:type="dxa"/>
            <w:shd w:val="clear" w:color="auto" w:fill="C6D9F1" w:themeFill="text2" w:themeFillTint="33"/>
            <w:vAlign w:val="center"/>
          </w:tcPr>
          <w:p w14:paraId="6C648C7B" w14:textId="35774FE3" w:rsidR="00CD308A" w:rsidRPr="00DD1154" w:rsidRDefault="00CD308A" w:rsidP="00512AE3">
            <w:pPr>
              <w:spacing w:before="60" w:after="60"/>
              <w:jc w:val="center"/>
              <w:rPr>
                <w:b/>
                <w:bCs/>
              </w:rPr>
            </w:pPr>
            <w:r w:rsidRPr="00DD1154">
              <w:rPr>
                <w:b/>
                <w:bCs/>
              </w:rPr>
              <w:t>Ukupno 2017.-2020.</w:t>
            </w:r>
          </w:p>
        </w:tc>
      </w:tr>
      <w:tr w:rsidR="00CD308A" w:rsidRPr="00DD1154" w14:paraId="4868D555" w14:textId="77777777" w:rsidTr="00485B28">
        <w:trPr>
          <w:jc w:val="center"/>
        </w:trPr>
        <w:tc>
          <w:tcPr>
            <w:tcW w:w="2564" w:type="dxa"/>
            <w:shd w:val="clear" w:color="auto" w:fill="C6D9F1" w:themeFill="text2" w:themeFillTint="33"/>
          </w:tcPr>
          <w:p w14:paraId="682AD001" w14:textId="6F4228D0" w:rsidR="00CD308A" w:rsidRPr="00DD1154" w:rsidRDefault="00CD308A" w:rsidP="00512AE3">
            <w:pPr>
              <w:spacing w:before="60" w:after="60"/>
              <w:jc w:val="left"/>
              <w:rPr>
                <w:b/>
                <w:bCs/>
              </w:rPr>
            </w:pPr>
            <w:r w:rsidRPr="00DD1154">
              <w:rPr>
                <w:b/>
                <w:bCs/>
              </w:rPr>
              <w:t>Broj održanih dražbi</w:t>
            </w:r>
          </w:p>
        </w:tc>
        <w:tc>
          <w:tcPr>
            <w:tcW w:w="2564" w:type="dxa"/>
            <w:vAlign w:val="center"/>
          </w:tcPr>
          <w:p w14:paraId="4D7AB418" w14:textId="752977B5" w:rsidR="00CD308A" w:rsidRPr="00DD1154" w:rsidRDefault="00CD308A" w:rsidP="00512AE3">
            <w:pPr>
              <w:spacing w:before="60" w:after="60"/>
              <w:jc w:val="center"/>
            </w:pPr>
            <w:r w:rsidRPr="00DD1154">
              <w:t>141</w:t>
            </w:r>
          </w:p>
        </w:tc>
        <w:tc>
          <w:tcPr>
            <w:tcW w:w="2664" w:type="dxa"/>
            <w:vAlign w:val="center"/>
          </w:tcPr>
          <w:p w14:paraId="775BCE9D" w14:textId="53989E5F" w:rsidR="00CD308A" w:rsidRPr="00DD1154" w:rsidRDefault="00CD308A" w:rsidP="00512AE3">
            <w:pPr>
              <w:spacing w:before="60" w:after="60"/>
              <w:jc w:val="center"/>
            </w:pPr>
            <w:r w:rsidRPr="00DD1154">
              <w:t>143</w:t>
            </w:r>
          </w:p>
        </w:tc>
        <w:tc>
          <w:tcPr>
            <w:tcW w:w="2466" w:type="dxa"/>
            <w:vAlign w:val="center"/>
          </w:tcPr>
          <w:p w14:paraId="18124B55" w14:textId="6AA4CD7F" w:rsidR="00CD308A" w:rsidRPr="00DD1154" w:rsidRDefault="00CD308A" w:rsidP="00512AE3">
            <w:pPr>
              <w:spacing w:before="60" w:after="60"/>
              <w:jc w:val="center"/>
            </w:pPr>
            <w:r w:rsidRPr="00DD1154">
              <w:t>146</w:t>
            </w:r>
          </w:p>
        </w:tc>
        <w:tc>
          <w:tcPr>
            <w:tcW w:w="2565" w:type="dxa"/>
            <w:vAlign w:val="center"/>
          </w:tcPr>
          <w:p w14:paraId="10E0BDBE" w14:textId="5D969376" w:rsidR="00CD308A" w:rsidRPr="00DD1154" w:rsidRDefault="00CD308A" w:rsidP="00512AE3">
            <w:pPr>
              <w:spacing w:before="60" w:after="60"/>
              <w:jc w:val="center"/>
            </w:pPr>
            <w:r w:rsidRPr="00DD1154">
              <w:t>145</w:t>
            </w:r>
          </w:p>
        </w:tc>
        <w:tc>
          <w:tcPr>
            <w:tcW w:w="2481" w:type="dxa"/>
            <w:vAlign w:val="center"/>
          </w:tcPr>
          <w:p w14:paraId="18DBEEE7" w14:textId="48F3580F" w:rsidR="00CD308A" w:rsidRPr="00DD1154" w:rsidRDefault="00CD308A" w:rsidP="00512AE3">
            <w:pPr>
              <w:spacing w:before="60" w:after="60"/>
              <w:jc w:val="center"/>
            </w:pPr>
            <w:r w:rsidRPr="00DD1154">
              <w:t>575</w:t>
            </w:r>
          </w:p>
        </w:tc>
      </w:tr>
      <w:tr w:rsidR="00CD308A" w:rsidRPr="00DD1154" w14:paraId="0F952EC3" w14:textId="77777777" w:rsidTr="00485B28">
        <w:trPr>
          <w:jc w:val="center"/>
        </w:trPr>
        <w:tc>
          <w:tcPr>
            <w:tcW w:w="2564" w:type="dxa"/>
            <w:shd w:val="clear" w:color="auto" w:fill="C6D9F1" w:themeFill="text2" w:themeFillTint="33"/>
          </w:tcPr>
          <w:p w14:paraId="78CCE74E" w14:textId="64400DDA" w:rsidR="00CD308A" w:rsidRPr="00DD1154" w:rsidRDefault="00CD308A" w:rsidP="00512AE3">
            <w:pPr>
              <w:spacing w:before="60" w:after="60"/>
              <w:jc w:val="left"/>
              <w:rPr>
                <w:b/>
                <w:bCs/>
              </w:rPr>
            </w:pPr>
            <w:r w:rsidRPr="00DD1154">
              <w:rPr>
                <w:b/>
                <w:bCs/>
              </w:rPr>
              <w:t>Ukupan iznos emisijskih jedinica</w:t>
            </w:r>
          </w:p>
        </w:tc>
        <w:tc>
          <w:tcPr>
            <w:tcW w:w="2564" w:type="dxa"/>
            <w:vAlign w:val="center"/>
          </w:tcPr>
          <w:p w14:paraId="67D29BD6" w14:textId="4A6D94EA" w:rsidR="00CD308A" w:rsidRPr="00DD1154" w:rsidRDefault="00CD308A" w:rsidP="00512AE3">
            <w:pPr>
              <w:spacing w:before="60" w:after="60"/>
              <w:jc w:val="center"/>
            </w:pPr>
            <w:r w:rsidRPr="00DD1154">
              <w:t>4.698.000</w:t>
            </w:r>
          </w:p>
        </w:tc>
        <w:tc>
          <w:tcPr>
            <w:tcW w:w="2664" w:type="dxa"/>
            <w:vAlign w:val="center"/>
          </w:tcPr>
          <w:p w14:paraId="15B14E5D" w14:textId="60907EA8" w:rsidR="00CD308A" w:rsidRPr="00DD1154" w:rsidRDefault="00CD308A" w:rsidP="00512AE3">
            <w:pPr>
              <w:spacing w:before="60" w:after="60"/>
              <w:jc w:val="center"/>
            </w:pPr>
            <w:r w:rsidRPr="00DD1154">
              <w:t>4.636.000</w:t>
            </w:r>
          </w:p>
        </w:tc>
        <w:tc>
          <w:tcPr>
            <w:tcW w:w="2466" w:type="dxa"/>
            <w:vAlign w:val="center"/>
          </w:tcPr>
          <w:p w14:paraId="4E1815A8" w14:textId="4B9E68CA" w:rsidR="00CD308A" w:rsidRPr="00DD1154" w:rsidRDefault="00CD308A" w:rsidP="00512AE3">
            <w:pPr>
              <w:spacing w:before="60" w:after="60"/>
              <w:jc w:val="center"/>
            </w:pPr>
            <w:r w:rsidRPr="00DD1154">
              <w:t>2.953.500</w:t>
            </w:r>
          </w:p>
        </w:tc>
        <w:tc>
          <w:tcPr>
            <w:tcW w:w="2565" w:type="dxa"/>
            <w:vAlign w:val="center"/>
          </w:tcPr>
          <w:p w14:paraId="0D03C000" w14:textId="6DF3BF65" w:rsidR="00CD308A" w:rsidRPr="00DD1154" w:rsidRDefault="00373CED" w:rsidP="00512AE3">
            <w:pPr>
              <w:spacing w:before="60" w:after="60"/>
              <w:jc w:val="center"/>
            </w:pPr>
            <w:r w:rsidRPr="00DD1154">
              <w:t>2.969.000</w:t>
            </w:r>
          </w:p>
        </w:tc>
        <w:tc>
          <w:tcPr>
            <w:tcW w:w="2481" w:type="dxa"/>
            <w:vAlign w:val="center"/>
          </w:tcPr>
          <w:p w14:paraId="63E97E0A" w14:textId="74F344D9" w:rsidR="00CD308A" w:rsidRPr="00DD1154" w:rsidRDefault="00373CED" w:rsidP="00512AE3">
            <w:pPr>
              <w:spacing w:before="60" w:after="60"/>
              <w:jc w:val="center"/>
            </w:pPr>
            <w:r w:rsidRPr="00DD1154">
              <w:t>15.256.500</w:t>
            </w:r>
          </w:p>
        </w:tc>
      </w:tr>
      <w:tr w:rsidR="00CD308A" w:rsidRPr="00DD1154" w14:paraId="13DFE5A6" w14:textId="77777777" w:rsidTr="00485B28">
        <w:trPr>
          <w:jc w:val="center"/>
        </w:trPr>
        <w:tc>
          <w:tcPr>
            <w:tcW w:w="2564" w:type="dxa"/>
            <w:shd w:val="clear" w:color="auto" w:fill="C6D9F1" w:themeFill="text2" w:themeFillTint="33"/>
          </w:tcPr>
          <w:p w14:paraId="692F9C3F" w14:textId="2377DC77" w:rsidR="00CD308A" w:rsidRPr="00DD1154" w:rsidRDefault="00373CED" w:rsidP="00512AE3">
            <w:pPr>
              <w:spacing w:before="60" w:after="60"/>
              <w:jc w:val="left"/>
              <w:rPr>
                <w:b/>
                <w:bCs/>
              </w:rPr>
            </w:pPr>
            <w:r w:rsidRPr="00DD1154">
              <w:rPr>
                <w:b/>
                <w:bCs/>
              </w:rPr>
              <w:t>Prosječna cijena</w:t>
            </w:r>
          </w:p>
        </w:tc>
        <w:tc>
          <w:tcPr>
            <w:tcW w:w="2564" w:type="dxa"/>
            <w:vAlign w:val="center"/>
          </w:tcPr>
          <w:p w14:paraId="6289F992" w14:textId="1BC1D2A5" w:rsidR="00CD308A" w:rsidRPr="00DD1154" w:rsidRDefault="00373CED" w:rsidP="00512AE3">
            <w:pPr>
              <w:spacing w:before="60" w:after="60"/>
              <w:jc w:val="center"/>
            </w:pPr>
            <w:r w:rsidRPr="00DD1154">
              <w:t>5,77 €</w:t>
            </w:r>
          </w:p>
        </w:tc>
        <w:tc>
          <w:tcPr>
            <w:tcW w:w="2664" w:type="dxa"/>
            <w:vAlign w:val="center"/>
          </w:tcPr>
          <w:p w14:paraId="62384A53" w14:textId="1311A2F7" w:rsidR="00CD308A" w:rsidRPr="00DD1154" w:rsidRDefault="00373CED" w:rsidP="00512AE3">
            <w:pPr>
              <w:spacing w:before="60" w:after="60"/>
              <w:jc w:val="center"/>
            </w:pPr>
            <w:r w:rsidRPr="00DD1154">
              <w:t>15,68 €</w:t>
            </w:r>
          </w:p>
        </w:tc>
        <w:tc>
          <w:tcPr>
            <w:tcW w:w="2466" w:type="dxa"/>
            <w:vAlign w:val="center"/>
          </w:tcPr>
          <w:p w14:paraId="24884EC3" w14:textId="0E01B2A7" w:rsidR="00CD308A" w:rsidRPr="00DD1154" w:rsidRDefault="00373CED" w:rsidP="00512AE3">
            <w:pPr>
              <w:spacing w:before="60" w:after="60"/>
              <w:jc w:val="center"/>
            </w:pPr>
            <w:r w:rsidRPr="00DD1154">
              <w:t>24,74 €</w:t>
            </w:r>
          </w:p>
        </w:tc>
        <w:tc>
          <w:tcPr>
            <w:tcW w:w="2565" w:type="dxa"/>
            <w:vAlign w:val="center"/>
          </w:tcPr>
          <w:p w14:paraId="1C4244F1" w14:textId="693E6603" w:rsidR="00CD308A" w:rsidRPr="00DD1154" w:rsidRDefault="00373CED" w:rsidP="00512AE3">
            <w:pPr>
              <w:spacing w:before="60" w:after="60"/>
              <w:jc w:val="center"/>
            </w:pPr>
            <w:r w:rsidRPr="00DD1154">
              <w:t>24,33 €</w:t>
            </w:r>
          </w:p>
        </w:tc>
        <w:tc>
          <w:tcPr>
            <w:tcW w:w="2481" w:type="dxa"/>
            <w:vAlign w:val="center"/>
          </w:tcPr>
          <w:p w14:paraId="355B8A92" w14:textId="25C2AB4E" w:rsidR="00CD308A" w:rsidRPr="00DD1154" w:rsidRDefault="00373CED" w:rsidP="00512AE3">
            <w:pPr>
              <w:spacing w:before="60" w:after="60"/>
              <w:jc w:val="center"/>
            </w:pPr>
            <w:r w:rsidRPr="00DD1154">
              <w:t>17,63 €</w:t>
            </w:r>
          </w:p>
        </w:tc>
      </w:tr>
      <w:tr w:rsidR="00B03C62" w:rsidRPr="00DD1154" w14:paraId="0765C61C" w14:textId="77777777" w:rsidTr="00485B28">
        <w:trPr>
          <w:jc w:val="center"/>
        </w:trPr>
        <w:tc>
          <w:tcPr>
            <w:tcW w:w="2564" w:type="dxa"/>
            <w:shd w:val="clear" w:color="auto" w:fill="C6D9F1" w:themeFill="text2" w:themeFillTint="33"/>
          </w:tcPr>
          <w:p w14:paraId="214DC123" w14:textId="3CEF0ABA" w:rsidR="00B03C62" w:rsidRPr="00DD1154" w:rsidRDefault="00B03C62" w:rsidP="00512AE3">
            <w:pPr>
              <w:spacing w:before="60" w:after="60"/>
              <w:jc w:val="left"/>
              <w:rPr>
                <w:b/>
                <w:bCs/>
              </w:rPr>
            </w:pPr>
            <w:r w:rsidRPr="00DD1154">
              <w:rPr>
                <w:b/>
                <w:bCs/>
              </w:rPr>
              <w:t>Ostvarena financijska sredstva (€)</w:t>
            </w:r>
          </w:p>
        </w:tc>
        <w:tc>
          <w:tcPr>
            <w:tcW w:w="2564" w:type="dxa"/>
            <w:vAlign w:val="center"/>
          </w:tcPr>
          <w:p w14:paraId="3EF7266B" w14:textId="20732949" w:rsidR="00B03C62" w:rsidRPr="00DD1154" w:rsidRDefault="00B03C62" w:rsidP="00485B28">
            <w:pPr>
              <w:spacing w:before="60" w:after="60"/>
              <w:jc w:val="right"/>
            </w:pPr>
            <w:r w:rsidRPr="00DD1154">
              <w:t>27.152.690,00</w:t>
            </w:r>
          </w:p>
        </w:tc>
        <w:tc>
          <w:tcPr>
            <w:tcW w:w="2664" w:type="dxa"/>
            <w:vAlign w:val="center"/>
          </w:tcPr>
          <w:p w14:paraId="2A89B462" w14:textId="0CB9B29F" w:rsidR="00B03C62" w:rsidRPr="00DD1154" w:rsidRDefault="000808B6" w:rsidP="00485B28">
            <w:pPr>
              <w:spacing w:before="60" w:after="60"/>
              <w:jc w:val="right"/>
            </w:pPr>
            <w:r w:rsidRPr="00DD1154">
              <w:t>71.510.020,00</w:t>
            </w:r>
          </w:p>
        </w:tc>
        <w:tc>
          <w:tcPr>
            <w:tcW w:w="2466" w:type="dxa"/>
            <w:vAlign w:val="center"/>
          </w:tcPr>
          <w:p w14:paraId="7FD9E173" w14:textId="594DCA4E" w:rsidR="00B03C62" w:rsidRPr="00DD1154" w:rsidRDefault="000808B6" w:rsidP="00485B28">
            <w:pPr>
              <w:spacing w:before="60" w:after="60"/>
              <w:jc w:val="right"/>
            </w:pPr>
            <w:r w:rsidRPr="00DD1154">
              <w:t>72.714.435,00</w:t>
            </w:r>
          </w:p>
        </w:tc>
        <w:tc>
          <w:tcPr>
            <w:tcW w:w="2565" w:type="dxa"/>
            <w:vAlign w:val="center"/>
          </w:tcPr>
          <w:p w14:paraId="64AAEE6A" w14:textId="369CB8F4" w:rsidR="00B03C62" w:rsidRPr="00DD1154" w:rsidRDefault="000808B6" w:rsidP="00485B28">
            <w:pPr>
              <w:spacing w:before="60" w:after="60"/>
              <w:jc w:val="right"/>
            </w:pPr>
            <w:r w:rsidRPr="00DD1154">
              <w:t>72.187.340,00</w:t>
            </w:r>
          </w:p>
        </w:tc>
        <w:tc>
          <w:tcPr>
            <w:tcW w:w="2481" w:type="dxa"/>
            <w:vAlign w:val="center"/>
          </w:tcPr>
          <w:p w14:paraId="0C89393E" w14:textId="378A41B3" w:rsidR="00B03C62" w:rsidRPr="00DD1154" w:rsidRDefault="000808B6" w:rsidP="00485B28">
            <w:pPr>
              <w:spacing w:before="60" w:after="60"/>
              <w:jc w:val="right"/>
            </w:pPr>
            <w:r w:rsidRPr="00DD1154">
              <w:t>243.564.485,00</w:t>
            </w:r>
          </w:p>
        </w:tc>
      </w:tr>
      <w:tr w:rsidR="00CD308A" w:rsidRPr="00DD1154" w14:paraId="5820C2DE" w14:textId="77777777" w:rsidTr="00485B28">
        <w:trPr>
          <w:jc w:val="center"/>
        </w:trPr>
        <w:tc>
          <w:tcPr>
            <w:tcW w:w="2564" w:type="dxa"/>
            <w:shd w:val="clear" w:color="auto" w:fill="C6D9F1" w:themeFill="text2" w:themeFillTint="33"/>
          </w:tcPr>
          <w:p w14:paraId="0F79C648" w14:textId="43D379D1" w:rsidR="00CD308A" w:rsidRPr="00DD1154" w:rsidRDefault="00373CED" w:rsidP="006C04A7">
            <w:pPr>
              <w:spacing w:before="60" w:after="60"/>
              <w:jc w:val="left"/>
              <w:rPr>
                <w:b/>
                <w:bCs/>
              </w:rPr>
            </w:pPr>
            <w:r w:rsidRPr="00DD1154">
              <w:rPr>
                <w:b/>
                <w:bCs/>
              </w:rPr>
              <w:t>Ostvarena financijska sredstva</w:t>
            </w:r>
            <w:r w:rsidR="00B03C62" w:rsidRPr="00DD1154">
              <w:rPr>
                <w:b/>
                <w:bCs/>
              </w:rPr>
              <w:t xml:space="preserve"> (</w:t>
            </w:r>
            <w:r w:rsidR="006C04A7" w:rsidRPr="00DD1154">
              <w:rPr>
                <w:b/>
                <w:bCs/>
              </w:rPr>
              <w:t>kn</w:t>
            </w:r>
            <w:r w:rsidR="00B03C62" w:rsidRPr="00DD1154">
              <w:rPr>
                <w:b/>
                <w:bCs/>
              </w:rPr>
              <w:t>)</w:t>
            </w:r>
          </w:p>
        </w:tc>
        <w:tc>
          <w:tcPr>
            <w:tcW w:w="2564" w:type="dxa"/>
            <w:vAlign w:val="center"/>
          </w:tcPr>
          <w:p w14:paraId="4DB87BBE" w14:textId="147AB3A1" w:rsidR="00CD308A" w:rsidRPr="00DD1154" w:rsidRDefault="00373CED" w:rsidP="00485B28">
            <w:pPr>
              <w:spacing w:before="60" w:after="60"/>
              <w:jc w:val="right"/>
            </w:pPr>
            <w:r w:rsidRPr="00DD1154">
              <w:t xml:space="preserve">202.769.232,48 </w:t>
            </w:r>
          </w:p>
        </w:tc>
        <w:tc>
          <w:tcPr>
            <w:tcW w:w="2664" w:type="dxa"/>
            <w:vAlign w:val="center"/>
          </w:tcPr>
          <w:p w14:paraId="396FFBB8" w14:textId="6D29B84F" w:rsidR="00CD308A" w:rsidRPr="00DD1154" w:rsidRDefault="00373CED" w:rsidP="00485B28">
            <w:pPr>
              <w:spacing w:before="60" w:after="60"/>
              <w:jc w:val="right"/>
            </w:pPr>
            <w:r w:rsidRPr="00DD1154">
              <w:t>529.986.264,00</w:t>
            </w:r>
          </w:p>
        </w:tc>
        <w:tc>
          <w:tcPr>
            <w:tcW w:w="2466" w:type="dxa"/>
            <w:vAlign w:val="center"/>
          </w:tcPr>
          <w:p w14:paraId="18189791" w14:textId="4456FF77" w:rsidR="00CD308A" w:rsidRPr="00DD1154" w:rsidRDefault="00E635A6" w:rsidP="00485B28">
            <w:pPr>
              <w:spacing w:before="60" w:after="60"/>
              <w:jc w:val="right"/>
            </w:pPr>
            <w:r w:rsidRPr="00DD1154">
              <w:t>539.042.353,68</w:t>
            </w:r>
          </w:p>
        </w:tc>
        <w:tc>
          <w:tcPr>
            <w:tcW w:w="2565" w:type="dxa"/>
            <w:vAlign w:val="center"/>
          </w:tcPr>
          <w:p w14:paraId="027B415D" w14:textId="14766DB5" w:rsidR="00CD308A" w:rsidRPr="00DD1154" w:rsidRDefault="00E635A6" w:rsidP="00485B28">
            <w:pPr>
              <w:spacing w:before="60" w:after="60"/>
              <w:jc w:val="right"/>
            </w:pPr>
            <w:r w:rsidRPr="00DD1154">
              <w:t>543.780.333,07</w:t>
            </w:r>
          </w:p>
        </w:tc>
        <w:tc>
          <w:tcPr>
            <w:tcW w:w="2481" w:type="dxa"/>
            <w:vAlign w:val="center"/>
          </w:tcPr>
          <w:p w14:paraId="4D873C4A" w14:textId="4882748E" w:rsidR="00CD308A" w:rsidRPr="00DD1154" w:rsidRDefault="00E635A6" w:rsidP="00485B28">
            <w:pPr>
              <w:spacing w:before="60" w:after="60"/>
              <w:jc w:val="right"/>
            </w:pPr>
            <w:r w:rsidRPr="00DD1154">
              <w:t>1.815.578.183,23</w:t>
            </w:r>
          </w:p>
        </w:tc>
      </w:tr>
      <w:tr w:rsidR="00CD308A" w:rsidRPr="00DD1154" w14:paraId="61D291A2" w14:textId="77777777" w:rsidTr="00485B28">
        <w:trPr>
          <w:jc w:val="center"/>
        </w:trPr>
        <w:tc>
          <w:tcPr>
            <w:tcW w:w="2564" w:type="dxa"/>
            <w:shd w:val="clear" w:color="auto" w:fill="C6D9F1" w:themeFill="text2" w:themeFillTint="33"/>
          </w:tcPr>
          <w:p w14:paraId="7BE0A346" w14:textId="78BEDBF6" w:rsidR="00CD308A" w:rsidRPr="00DD1154" w:rsidRDefault="00E635A6" w:rsidP="00512AE3">
            <w:pPr>
              <w:spacing w:before="60" w:after="60"/>
              <w:jc w:val="left"/>
              <w:rPr>
                <w:b/>
                <w:bCs/>
              </w:rPr>
            </w:pPr>
            <w:r w:rsidRPr="00DD1154">
              <w:rPr>
                <w:b/>
                <w:bCs/>
              </w:rPr>
              <w:t>Raspodjela sredstava (5 % se raspoređuje prema Ugovoru)</w:t>
            </w:r>
          </w:p>
        </w:tc>
        <w:tc>
          <w:tcPr>
            <w:tcW w:w="2564" w:type="dxa"/>
            <w:vAlign w:val="center"/>
          </w:tcPr>
          <w:p w14:paraId="73E4B275" w14:textId="7BABE0A6" w:rsidR="00CD308A" w:rsidRPr="00DD1154" w:rsidRDefault="00E635A6" w:rsidP="00485B28">
            <w:pPr>
              <w:spacing w:before="60" w:after="60"/>
              <w:jc w:val="right"/>
            </w:pPr>
            <w:r w:rsidRPr="00DD1154">
              <w:t xml:space="preserve">10.138.461,60 </w:t>
            </w:r>
          </w:p>
        </w:tc>
        <w:tc>
          <w:tcPr>
            <w:tcW w:w="2664" w:type="dxa"/>
            <w:vAlign w:val="center"/>
          </w:tcPr>
          <w:p w14:paraId="279F206D" w14:textId="6F9B5F50" w:rsidR="00CD308A" w:rsidRPr="00DD1154" w:rsidRDefault="00E635A6" w:rsidP="00485B28">
            <w:pPr>
              <w:spacing w:before="60" w:after="60"/>
              <w:jc w:val="right"/>
            </w:pPr>
            <w:r w:rsidRPr="00DD1154">
              <w:t xml:space="preserve">26.499.313,19 </w:t>
            </w:r>
          </w:p>
        </w:tc>
        <w:tc>
          <w:tcPr>
            <w:tcW w:w="2466" w:type="dxa"/>
            <w:vAlign w:val="center"/>
          </w:tcPr>
          <w:p w14:paraId="1EABBB0F" w14:textId="35944C40" w:rsidR="00CD308A" w:rsidRPr="00DD1154" w:rsidRDefault="00E635A6" w:rsidP="00485B28">
            <w:pPr>
              <w:spacing w:before="60" w:after="60"/>
              <w:jc w:val="right"/>
            </w:pPr>
            <w:r w:rsidRPr="00DD1154">
              <w:t>26.952.117,72</w:t>
            </w:r>
          </w:p>
        </w:tc>
        <w:tc>
          <w:tcPr>
            <w:tcW w:w="2565" w:type="dxa"/>
            <w:vAlign w:val="center"/>
          </w:tcPr>
          <w:p w14:paraId="3D33F089" w14:textId="023B157C" w:rsidR="00CD308A" w:rsidRPr="00DD1154" w:rsidRDefault="00E635A6" w:rsidP="00485B28">
            <w:pPr>
              <w:spacing w:before="60" w:after="60"/>
              <w:jc w:val="right"/>
            </w:pPr>
            <w:r w:rsidRPr="00DD1154">
              <w:t>27.189.016,66</w:t>
            </w:r>
          </w:p>
        </w:tc>
        <w:tc>
          <w:tcPr>
            <w:tcW w:w="2481" w:type="dxa"/>
            <w:vAlign w:val="center"/>
          </w:tcPr>
          <w:p w14:paraId="0C9F998E" w14:textId="0424ED75" w:rsidR="00CD308A" w:rsidRPr="00DD1154" w:rsidRDefault="00E635A6" w:rsidP="00485B28">
            <w:pPr>
              <w:spacing w:before="60" w:after="60"/>
              <w:jc w:val="right"/>
            </w:pPr>
            <w:r w:rsidRPr="00DD1154">
              <w:t>90.778.909,17</w:t>
            </w:r>
          </w:p>
        </w:tc>
      </w:tr>
      <w:tr w:rsidR="00CD308A" w:rsidRPr="00DD1154" w14:paraId="21B2E6C1" w14:textId="77777777" w:rsidTr="00485B28">
        <w:trPr>
          <w:jc w:val="center"/>
        </w:trPr>
        <w:tc>
          <w:tcPr>
            <w:tcW w:w="2564" w:type="dxa"/>
            <w:shd w:val="clear" w:color="auto" w:fill="C6D9F1" w:themeFill="text2" w:themeFillTint="33"/>
          </w:tcPr>
          <w:p w14:paraId="6629E4C4" w14:textId="43E97F26" w:rsidR="00CD308A" w:rsidRPr="00DD1154" w:rsidRDefault="00E635A6" w:rsidP="00512AE3">
            <w:pPr>
              <w:spacing w:before="60" w:after="60"/>
              <w:jc w:val="left"/>
              <w:rPr>
                <w:b/>
                <w:bCs/>
              </w:rPr>
            </w:pPr>
            <w:r w:rsidRPr="00DD1154">
              <w:rPr>
                <w:b/>
                <w:bCs/>
              </w:rPr>
              <w:t xml:space="preserve">MINGOR </w:t>
            </w:r>
            <w:r w:rsidR="00B03C62" w:rsidRPr="00DD1154">
              <w:rPr>
                <w:b/>
                <w:bCs/>
              </w:rPr>
              <w:t>(2017. i 2018. g 75</w:t>
            </w:r>
            <w:r w:rsidR="00485B28" w:rsidRPr="00DD1154">
              <w:rPr>
                <w:b/>
                <w:bCs/>
              </w:rPr>
              <w:t xml:space="preserve"> </w:t>
            </w:r>
            <w:r w:rsidR="00B03C62" w:rsidRPr="00DD1154">
              <w:rPr>
                <w:b/>
                <w:bCs/>
              </w:rPr>
              <w:t>%, 2019. i 2020. 90</w:t>
            </w:r>
            <w:r w:rsidR="00485B28" w:rsidRPr="00DD1154">
              <w:rPr>
                <w:b/>
                <w:bCs/>
              </w:rPr>
              <w:t xml:space="preserve"> </w:t>
            </w:r>
            <w:r w:rsidR="00B03C62" w:rsidRPr="00DD1154">
              <w:rPr>
                <w:b/>
                <w:bCs/>
              </w:rPr>
              <w:t>%)</w:t>
            </w:r>
          </w:p>
        </w:tc>
        <w:tc>
          <w:tcPr>
            <w:tcW w:w="2564" w:type="dxa"/>
            <w:vAlign w:val="center"/>
          </w:tcPr>
          <w:p w14:paraId="703A2923" w14:textId="5A033A50" w:rsidR="00CD308A" w:rsidRPr="00DD1154" w:rsidRDefault="000808B6" w:rsidP="00485B28">
            <w:pPr>
              <w:spacing w:before="60" w:after="60"/>
              <w:jc w:val="right"/>
            </w:pPr>
            <w:r w:rsidRPr="00DD1154">
              <w:t xml:space="preserve">7.603.846,24 </w:t>
            </w:r>
          </w:p>
        </w:tc>
        <w:tc>
          <w:tcPr>
            <w:tcW w:w="2664" w:type="dxa"/>
            <w:vAlign w:val="center"/>
          </w:tcPr>
          <w:p w14:paraId="0249202D" w14:textId="4A245991" w:rsidR="00CD308A" w:rsidRPr="00DD1154" w:rsidRDefault="000808B6" w:rsidP="00485B28">
            <w:pPr>
              <w:spacing w:before="60" w:after="60"/>
              <w:jc w:val="right"/>
            </w:pPr>
            <w:r w:rsidRPr="00DD1154">
              <w:t>19.874.484,91</w:t>
            </w:r>
          </w:p>
        </w:tc>
        <w:tc>
          <w:tcPr>
            <w:tcW w:w="2466" w:type="dxa"/>
            <w:vAlign w:val="center"/>
          </w:tcPr>
          <w:p w14:paraId="4A640695" w14:textId="5FE1C1CB" w:rsidR="00CD308A" w:rsidRPr="00DD1154" w:rsidRDefault="000808B6" w:rsidP="00485B28">
            <w:pPr>
              <w:spacing w:before="60" w:after="60"/>
              <w:jc w:val="right"/>
            </w:pPr>
            <w:r w:rsidRPr="00DD1154">
              <w:t>24.256.905,87</w:t>
            </w:r>
          </w:p>
        </w:tc>
        <w:tc>
          <w:tcPr>
            <w:tcW w:w="2565" w:type="dxa"/>
            <w:vAlign w:val="center"/>
          </w:tcPr>
          <w:p w14:paraId="7A5D70B9" w14:textId="4AD63B5A" w:rsidR="00CD308A" w:rsidRPr="00DD1154" w:rsidRDefault="000808B6" w:rsidP="00485B28">
            <w:pPr>
              <w:spacing w:before="60" w:after="60"/>
              <w:jc w:val="right"/>
            </w:pPr>
            <w:r w:rsidRPr="00DD1154">
              <w:t>24.470.114,88</w:t>
            </w:r>
          </w:p>
        </w:tc>
        <w:tc>
          <w:tcPr>
            <w:tcW w:w="2481" w:type="dxa"/>
            <w:vAlign w:val="center"/>
          </w:tcPr>
          <w:p w14:paraId="6DBA5DF1" w14:textId="46F133A8" w:rsidR="00CD308A" w:rsidRPr="00DD1154" w:rsidRDefault="000808B6" w:rsidP="00485B28">
            <w:pPr>
              <w:spacing w:before="60" w:after="60"/>
              <w:jc w:val="right"/>
            </w:pPr>
            <w:r w:rsidRPr="00DD1154">
              <w:t>76.205.351,90</w:t>
            </w:r>
          </w:p>
        </w:tc>
      </w:tr>
      <w:tr w:rsidR="00CD308A" w:rsidRPr="00DD1154" w14:paraId="176A4A44" w14:textId="77777777" w:rsidTr="00485B28">
        <w:trPr>
          <w:jc w:val="center"/>
        </w:trPr>
        <w:tc>
          <w:tcPr>
            <w:tcW w:w="2564" w:type="dxa"/>
            <w:shd w:val="clear" w:color="auto" w:fill="C6D9F1" w:themeFill="text2" w:themeFillTint="33"/>
          </w:tcPr>
          <w:p w14:paraId="674B4BDC" w14:textId="7E09BA54" w:rsidR="00CD308A" w:rsidRPr="00DD1154" w:rsidRDefault="00B03C62" w:rsidP="00512AE3">
            <w:pPr>
              <w:spacing w:before="60" w:after="60"/>
              <w:jc w:val="left"/>
              <w:rPr>
                <w:b/>
                <w:bCs/>
              </w:rPr>
            </w:pPr>
            <w:r w:rsidRPr="00DD1154">
              <w:rPr>
                <w:b/>
                <w:bCs/>
              </w:rPr>
              <w:t>HAOP (2017. i 2018. g 15</w:t>
            </w:r>
            <w:r w:rsidR="00485B28" w:rsidRPr="00DD1154">
              <w:rPr>
                <w:b/>
                <w:bCs/>
              </w:rPr>
              <w:t xml:space="preserve"> </w:t>
            </w:r>
            <w:r w:rsidRPr="00DD1154">
              <w:rPr>
                <w:b/>
                <w:bCs/>
              </w:rPr>
              <w:t>%)</w:t>
            </w:r>
          </w:p>
        </w:tc>
        <w:tc>
          <w:tcPr>
            <w:tcW w:w="2564" w:type="dxa"/>
            <w:vAlign w:val="center"/>
          </w:tcPr>
          <w:p w14:paraId="4EAA1747" w14:textId="4707A21F" w:rsidR="00CD308A" w:rsidRPr="00DD1154" w:rsidRDefault="000808B6" w:rsidP="00485B28">
            <w:pPr>
              <w:spacing w:before="60" w:after="60"/>
              <w:jc w:val="right"/>
            </w:pPr>
            <w:r w:rsidRPr="00DD1154">
              <w:t>1.520.769,22</w:t>
            </w:r>
          </w:p>
        </w:tc>
        <w:tc>
          <w:tcPr>
            <w:tcW w:w="2664" w:type="dxa"/>
            <w:vAlign w:val="center"/>
          </w:tcPr>
          <w:p w14:paraId="6E4BEF42" w14:textId="0711EA26" w:rsidR="00CD308A" w:rsidRPr="00DD1154" w:rsidRDefault="000808B6" w:rsidP="00485B28">
            <w:pPr>
              <w:spacing w:before="60" w:after="60"/>
              <w:jc w:val="right"/>
            </w:pPr>
            <w:r w:rsidRPr="00DD1154">
              <w:t xml:space="preserve">3.974.897,02 </w:t>
            </w:r>
          </w:p>
        </w:tc>
        <w:tc>
          <w:tcPr>
            <w:tcW w:w="2466" w:type="dxa"/>
            <w:vAlign w:val="center"/>
          </w:tcPr>
          <w:p w14:paraId="7226A977" w14:textId="20EC57DB" w:rsidR="00CD308A" w:rsidRPr="00DD1154" w:rsidRDefault="000808B6" w:rsidP="00485B28">
            <w:pPr>
              <w:spacing w:before="60" w:after="60"/>
              <w:jc w:val="right"/>
            </w:pPr>
            <w:r w:rsidRPr="00DD1154">
              <w:t>0,00</w:t>
            </w:r>
          </w:p>
        </w:tc>
        <w:tc>
          <w:tcPr>
            <w:tcW w:w="2565" w:type="dxa"/>
            <w:vAlign w:val="center"/>
          </w:tcPr>
          <w:p w14:paraId="5040290C" w14:textId="6C3E384C" w:rsidR="00CD308A" w:rsidRPr="00DD1154" w:rsidRDefault="000808B6" w:rsidP="00485B28">
            <w:pPr>
              <w:spacing w:before="60" w:after="60"/>
              <w:jc w:val="right"/>
            </w:pPr>
            <w:r w:rsidRPr="00DD1154">
              <w:t>0,00</w:t>
            </w:r>
          </w:p>
        </w:tc>
        <w:tc>
          <w:tcPr>
            <w:tcW w:w="2481" w:type="dxa"/>
            <w:vAlign w:val="center"/>
          </w:tcPr>
          <w:p w14:paraId="4873A413" w14:textId="18CDDD7E" w:rsidR="00CD308A" w:rsidRPr="00DD1154" w:rsidRDefault="000808B6" w:rsidP="00485B28">
            <w:pPr>
              <w:spacing w:before="60" w:after="60"/>
              <w:jc w:val="right"/>
            </w:pPr>
            <w:r w:rsidRPr="00DD1154">
              <w:t xml:space="preserve">5.495.666,24 </w:t>
            </w:r>
          </w:p>
        </w:tc>
      </w:tr>
      <w:tr w:rsidR="00CD308A" w:rsidRPr="00DD1154" w14:paraId="29A9AC95" w14:textId="77777777" w:rsidTr="00485B28">
        <w:trPr>
          <w:jc w:val="center"/>
        </w:trPr>
        <w:tc>
          <w:tcPr>
            <w:tcW w:w="2564" w:type="dxa"/>
            <w:shd w:val="clear" w:color="auto" w:fill="C6D9F1" w:themeFill="text2" w:themeFillTint="33"/>
          </w:tcPr>
          <w:p w14:paraId="63AFD29D" w14:textId="23654388" w:rsidR="00CD308A" w:rsidRPr="00DD1154" w:rsidRDefault="00B03C62" w:rsidP="00512AE3">
            <w:pPr>
              <w:spacing w:before="60" w:after="60"/>
              <w:jc w:val="left"/>
              <w:rPr>
                <w:b/>
                <w:bCs/>
              </w:rPr>
            </w:pPr>
            <w:r w:rsidRPr="00DD1154">
              <w:rPr>
                <w:b/>
                <w:bCs/>
              </w:rPr>
              <w:t>FZOEU (10</w:t>
            </w:r>
            <w:r w:rsidR="00485B28" w:rsidRPr="00DD1154">
              <w:rPr>
                <w:b/>
                <w:bCs/>
              </w:rPr>
              <w:t xml:space="preserve"> </w:t>
            </w:r>
            <w:r w:rsidRPr="00DD1154">
              <w:rPr>
                <w:b/>
                <w:bCs/>
              </w:rPr>
              <w:t>%)</w:t>
            </w:r>
          </w:p>
        </w:tc>
        <w:tc>
          <w:tcPr>
            <w:tcW w:w="2564" w:type="dxa"/>
            <w:vAlign w:val="center"/>
          </w:tcPr>
          <w:p w14:paraId="6B2FCEEA" w14:textId="16253F5B" w:rsidR="00CD308A" w:rsidRPr="00DD1154" w:rsidRDefault="000808B6" w:rsidP="00485B28">
            <w:pPr>
              <w:spacing w:before="60" w:after="60"/>
              <w:jc w:val="right"/>
            </w:pPr>
            <w:r w:rsidRPr="00DD1154">
              <w:t xml:space="preserve">1.013.846,14 </w:t>
            </w:r>
          </w:p>
        </w:tc>
        <w:tc>
          <w:tcPr>
            <w:tcW w:w="2664" w:type="dxa"/>
            <w:vAlign w:val="center"/>
          </w:tcPr>
          <w:p w14:paraId="2421C6D8" w14:textId="3C6A6358" w:rsidR="00CD308A" w:rsidRPr="00DD1154" w:rsidRDefault="000808B6" w:rsidP="00485B28">
            <w:pPr>
              <w:spacing w:before="60" w:after="60"/>
              <w:jc w:val="right"/>
            </w:pPr>
            <w:r w:rsidRPr="00DD1154">
              <w:t>2.649.931,26</w:t>
            </w:r>
          </w:p>
        </w:tc>
        <w:tc>
          <w:tcPr>
            <w:tcW w:w="2466" w:type="dxa"/>
            <w:vAlign w:val="center"/>
          </w:tcPr>
          <w:p w14:paraId="3ED60C3C" w14:textId="2820DE41" w:rsidR="00CD308A" w:rsidRPr="00DD1154" w:rsidRDefault="000808B6" w:rsidP="00485B28">
            <w:pPr>
              <w:spacing w:before="60" w:after="60"/>
              <w:jc w:val="right"/>
            </w:pPr>
            <w:r w:rsidRPr="00DD1154">
              <w:t>2.695.211,85</w:t>
            </w:r>
          </w:p>
        </w:tc>
        <w:tc>
          <w:tcPr>
            <w:tcW w:w="2565" w:type="dxa"/>
            <w:vAlign w:val="center"/>
          </w:tcPr>
          <w:p w14:paraId="34A02361" w14:textId="01192E6C" w:rsidR="00CD308A" w:rsidRPr="00DD1154" w:rsidRDefault="000808B6" w:rsidP="00485B28">
            <w:pPr>
              <w:spacing w:before="60" w:after="60"/>
              <w:jc w:val="right"/>
            </w:pPr>
            <w:r w:rsidRPr="00DD1154">
              <w:t>2.718.901,78</w:t>
            </w:r>
          </w:p>
        </w:tc>
        <w:tc>
          <w:tcPr>
            <w:tcW w:w="2481" w:type="dxa"/>
            <w:vAlign w:val="center"/>
          </w:tcPr>
          <w:p w14:paraId="7E7A01F2" w14:textId="12E0F00C" w:rsidR="00CD308A" w:rsidRPr="00DD1154" w:rsidRDefault="000808B6" w:rsidP="00485B28">
            <w:pPr>
              <w:spacing w:before="60" w:after="60"/>
              <w:jc w:val="right"/>
            </w:pPr>
            <w:r w:rsidRPr="00DD1154">
              <w:t>9.077.891,03</w:t>
            </w:r>
          </w:p>
        </w:tc>
      </w:tr>
      <w:tr w:rsidR="00CD308A" w:rsidRPr="00DD1154" w14:paraId="677EFF0A" w14:textId="77777777" w:rsidTr="00485B28">
        <w:trPr>
          <w:trHeight w:val="861"/>
          <w:jc w:val="center"/>
        </w:trPr>
        <w:tc>
          <w:tcPr>
            <w:tcW w:w="2564" w:type="dxa"/>
            <w:shd w:val="clear" w:color="auto" w:fill="C6D9F1" w:themeFill="text2" w:themeFillTint="33"/>
          </w:tcPr>
          <w:p w14:paraId="6D4E99C8" w14:textId="4BDAC914" w:rsidR="00CD308A" w:rsidRPr="00DD1154" w:rsidRDefault="000808B6" w:rsidP="00512AE3">
            <w:pPr>
              <w:spacing w:before="60" w:after="60"/>
              <w:jc w:val="left"/>
              <w:rPr>
                <w:b/>
                <w:bCs/>
              </w:rPr>
            </w:pPr>
            <w:r w:rsidRPr="00DD1154">
              <w:rPr>
                <w:b/>
                <w:bCs/>
              </w:rPr>
              <w:t>FZOEU</w:t>
            </w:r>
            <w:r w:rsidR="009B2181" w:rsidRPr="00DD1154">
              <w:rPr>
                <w:b/>
                <w:bCs/>
              </w:rPr>
              <w:t xml:space="preserve"> 95</w:t>
            </w:r>
            <w:r w:rsidR="00485B28" w:rsidRPr="00DD1154">
              <w:rPr>
                <w:b/>
                <w:bCs/>
              </w:rPr>
              <w:t xml:space="preserve"> </w:t>
            </w:r>
            <w:r w:rsidR="009B2181" w:rsidRPr="00DD1154">
              <w:rPr>
                <w:b/>
                <w:bCs/>
              </w:rPr>
              <w:t>%</w:t>
            </w:r>
            <w:r w:rsidRPr="00DD1154">
              <w:rPr>
                <w:b/>
                <w:bCs/>
              </w:rPr>
              <w:t xml:space="preserve"> prihod od emisija za projekte</w:t>
            </w:r>
          </w:p>
        </w:tc>
        <w:tc>
          <w:tcPr>
            <w:tcW w:w="2564" w:type="dxa"/>
            <w:shd w:val="clear" w:color="auto" w:fill="auto"/>
            <w:vAlign w:val="center"/>
          </w:tcPr>
          <w:p w14:paraId="7B6E7CB2" w14:textId="7883017D" w:rsidR="00CD308A" w:rsidRPr="00DD1154" w:rsidRDefault="000808B6" w:rsidP="00485B28">
            <w:pPr>
              <w:spacing w:before="60" w:after="60"/>
              <w:jc w:val="right"/>
              <w:rPr>
                <w:b/>
              </w:rPr>
            </w:pPr>
            <w:r w:rsidRPr="00DD1154">
              <w:rPr>
                <w:b/>
              </w:rPr>
              <w:t xml:space="preserve">192.630.770,88 </w:t>
            </w:r>
          </w:p>
        </w:tc>
        <w:tc>
          <w:tcPr>
            <w:tcW w:w="2664" w:type="dxa"/>
            <w:shd w:val="clear" w:color="auto" w:fill="auto"/>
            <w:vAlign w:val="center"/>
          </w:tcPr>
          <w:p w14:paraId="58B2C05C" w14:textId="2423739C" w:rsidR="00CD308A" w:rsidRPr="00DD1154" w:rsidRDefault="000808B6" w:rsidP="00485B28">
            <w:pPr>
              <w:spacing w:before="60" w:after="60"/>
              <w:jc w:val="right"/>
              <w:rPr>
                <w:b/>
              </w:rPr>
            </w:pPr>
            <w:r w:rsidRPr="00DD1154">
              <w:rPr>
                <w:b/>
              </w:rPr>
              <w:t>503.486.950,81</w:t>
            </w:r>
          </w:p>
        </w:tc>
        <w:tc>
          <w:tcPr>
            <w:tcW w:w="2466" w:type="dxa"/>
            <w:shd w:val="clear" w:color="auto" w:fill="auto"/>
            <w:vAlign w:val="center"/>
          </w:tcPr>
          <w:p w14:paraId="5C8A6176" w14:textId="04D5E38C" w:rsidR="00CD308A" w:rsidRPr="00DD1154" w:rsidRDefault="009138B4" w:rsidP="00485B28">
            <w:pPr>
              <w:spacing w:before="60" w:after="60"/>
              <w:jc w:val="right"/>
              <w:rPr>
                <w:b/>
              </w:rPr>
            </w:pPr>
            <w:r w:rsidRPr="00DD1154">
              <w:rPr>
                <w:b/>
              </w:rPr>
              <w:t>512.090.235,96</w:t>
            </w:r>
          </w:p>
        </w:tc>
        <w:tc>
          <w:tcPr>
            <w:tcW w:w="2565" w:type="dxa"/>
            <w:shd w:val="clear" w:color="auto" w:fill="auto"/>
            <w:vAlign w:val="center"/>
          </w:tcPr>
          <w:p w14:paraId="43C9D61E" w14:textId="2BC3F786" w:rsidR="00CD308A" w:rsidRPr="00DD1154" w:rsidRDefault="009138B4" w:rsidP="00485B28">
            <w:pPr>
              <w:spacing w:before="60" w:after="60"/>
              <w:jc w:val="right"/>
              <w:rPr>
                <w:b/>
              </w:rPr>
            </w:pPr>
            <w:r w:rsidRPr="00DD1154">
              <w:rPr>
                <w:b/>
              </w:rPr>
              <w:t>516.591.316,41</w:t>
            </w:r>
          </w:p>
        </w:tc>
        <w:tc>
          <w:tcPr>
            <w:tcW w:w="2481" w:type="dxa"/>
            <w:shd w:val="clear" w:color="auto" w:fill="auto"/>
            <w:vAlign w:val="center"/>
          </w:tcPr>
          <w:p w14:paraId="3128061B" w14:textId="25582E76" w:rsidR="00CD308A" w:rsidRPr="00DD1154" w:rsidRDefault="00485B28" w:rsidP="00485B28">
            <w:pPr>
              <w:spacing w:before="60" w:after="60"/>
              <w:jc w:val="right"/>
              <w:rPr>
                <w:b/>
              </w:rPr>
            </w:pPr>
            <w:r w:rsidRPr="00DD1154">
              <w:rPr>
                <w:b/>
              </w:rPr>
              <w:t>1.724.799.274,06</w:t>
            </w:r>
          </w:p>
        </w:tc>
      </w:tr>
    </w:tbl>
    <w:p w14:paraId="456E581F" w14:textId="45431DD1" w:rsidR="00B953D8" w:rsidRPr="00DD1154" w:rsidRDefault="00B953D8" w:rsidP="00B03C62">
      <w:pPr>
        <w:spacing w:after="0" w:line="240" w:lineRule="auto"/>
        <w:jc w:val="center"/>
      </w:pPr>
    </w:p>
    <w:p w14:paraId="1BEE4093" w14:textId="3616D55B" w:rsidR="00A1720D" w:rsidRPr="00DD1154" w:rsidRDefault="00A1720D" w:rsidP="00B03C62">
      <w:pPr>
        <w:spacing w:after="0" w:line="240" w:lineRule="auto"/>
        <w:jc w:val="center"/>
      </w:pPr>
    </w:p>
    <w:p w14:paraId="6B7117C0" w14:textId="128011EA" w:rsidR="00A1720D" w:rsidRPr="00DD1154" w:rsidRDefault="00A1720D" w:rsidP="000F11BE">
      <w:pPr>
        <w:spacing w:before="60" w:after="60" w:line="240" w:lineRule="auto"/>
        <w:rPr>
          <w:rFonts w:eastAsia="Times New Roman"/>
          <w:b/>
          <w:lang w:eastAsia="hr-HR"/>
        </w:rPr>
      </w:pPr>
      <w:r w:rsidRPr="00DD1154">
        <w:rPr>
          <w:i/>
        </w:rPr>
        <w:t xml:space="preserve">Prilog 2.: </w:t>
      </w:r>
      <w:r w:rsidRPr="00DD1154">
        <w:rPr>
          <w:rFonts w:eastAsia="Times New Roman"/>
          <w:b/>
          <w:lang w:eastAsia="hr-HR"/>
        </w:rPr>
        <w:t xml:space="preserve">Rekapitulacija Plana korištenja financijskih sredstava dobivenih od prodaje emisijskih jedinica putem dražbi u Republici Hrvatskoj do 2020. </w:t>
      </w:r>
      <w:r w:rsidRPr="00DD1154">
        <w:rPr>
          <w:rFonts w:eastAsia="Times New Roman"/>
          <w:b/>
          <w:lang w:eastAsia="hr-HR"/>
        </w:rPr>
        <w:tab/>
        <w:t xml:space="preserve">     </w:t>
      </w:r>
      <w:r w:rsidR="00E37099" w:rsidRPr="00DD1154">
        <w:rPr>
          <w:rFonts w:eastAsia="Times New Roman"/>
          <w:b/>
          <w:lang w:eastAsia="hr-HR"/>
        </w:rPr>
        <w:t>godine</w:t>
      </w:r>
    </w:p>
    <w:p w14:paraId="08F9DE49" w14:textId="0075AC5D" w:rsidR="00A1720D" w:rsidRPr="00DD1154" w:rsidRDefault="00A1720D" w:rsidP="00B03C62">
      <w:pPr>
        <w:spacing w:after="0" w:line="240" w:lineRule="auto"/>
        <w:jc w:val="center"/>
      </w:pPr>
    </w:p>
    <w:tbl>
      <w:tblPr>
        <w:tblStyle w:val="TableGrid"/>
        <w:tblW w:w="0" w:type="auto"/>
        <w:tblLook w:val="04A0" w:firstRow="1" w:lastRow="0" w:firstColumn="1" w:lastColumn="0" w:noHBand="0" w:noVBand="1"/>
      </w:tblPr>
      <w:tblGrid>
        <w:gridCol w:w="1897"/>
        <w:gridCol w:w="1896"/>
        <w:gridCol w:w="1204"/>
        <w:gridCol w:w="2511"/>
        <w:gridCol w:w="1961"/>
        <w:gridCol w:w="1836"/>
        <w:gridCol w:w="1163"/>
        <w:gridCol w:w="1716"/>
        <w:gridCol w:w="1204"/>
      </w:tblGrid>
      <w:tr w:rsidR="005968FE" w:rsidRPr="00DD1154" w14:paraId="20FCFA95" w14:textId="77777777" w:rsidTr="00CF3958">
        <w:tc>
          <w:tcPr>
            <w:tcW w:w="1897" w:type="dxa"/>
            <w:shd w:val="clear" w:color="auto" w:fill="C6D9F1" w:themeFill="text2" w:themeFillTint="33"/>
            <w:vAlign w:val="center"/>
          </w:tcPr>
          <w:p w14:paraId="55F914EC" w14:textId="77777777" w:rsidR="00512AE3" w:rsidRPr="00DD1154" w:rsidRDefault="00A1720D" w:rsidP="00512AE3">
            <w:pPr>
              <w:spacing w:before="60" w:after="60"/>
              <w:jc w:val="center"/>
              <w:rPr>
                <w:b/>
              </w:rPr>
            </w:pPr>
            <w:r w:rsidRPr="00DD1154">
              <w:rPr>
                <w:b/>
              </w:rPr>
              <w:t>Ukupan prihod za projekte</w:t>
            </w:r>
          </w:p>
          <w:p w14:paraId="767E4D0B" w14:textId="77777777" w:rsidR="00512AE3" w:rsidRPr="00DD1154" w:rsidRDefault="00512AE3" w:rsidP="00512AE3">
            <w:pPr>
              <w:spacing w:before="60" w:after="60"/>
              <w:jc w:val="center"/>
              <w:rPr>
                <w:b/>
              </w:rPr>
            </w:pPr>
          </w:p>
          <w:p w14:paraId="1486951A" w14:textId="77777777" w:rsidR="00485B28" w:rsidRPr="00DD1154" w:rsidRDefault="00485B28" w:rsidP="00512AE3">
            <w:pPr>
              <w:spacing w:before="60" w:after="60"/>
              <w:jc w:val="center"/>
              <w:rPr>
                <w:b/>
              </w:rPr>
            </w:pPr>
          </w:p>
          <w:p w14:paraId="1CD013D5" w14:textId="7748783E" w:rsidR="00A1720D" w:rsidRPr="00DD1154" w:rsidRDefault="00485B28" w:rsidP="00512AE3">
            <w:pPr>
              <w:spacing w:before="60" w:after="60"/>
              <w:jc w:val="center"/>
              <w:rPr>
                <w:b/>
              </w:rPr>
            </w:pPr>
            <w:r w:rsidRPr="00DD1154">
              <w:rPr>
                <w:b/>
              </w:rPr>
              <w:t>(</w:t>
            </w:r>
            <w:r w:rsidR="00730ABE" w:rsidRPr="00DD1154">
              <w:rPr>
                <w:b/>
              </w:rPr>
              <w:t>kn</w:t>
            </w:r>
            <w:r w:rsidRPr="00DD1154">
              <w:rPr>
                <w:b/>
              </w:rPr>
              <w:t>)</w:t>
            </w:r>
          </w:p>
        </w:tc>
        <w:tc>
          <w:tcPr>
            <w:tcW w:w="1896" w:type="dxa"/>
            <w:shd w:val="clear" w:color="auto" w:fill="C6D9F1" w:themeFill="text2" w:themeFillTint="33"/>
            <w:vAlign w:val="center"/>
          </w:tcPr>
          <w:p w14:paraId="408AEA92" w14:textId="77777777" w:rsidR="00512AE3" w:rsidRPr="00DD1154" w:rsidRDefault="00A1720D" w:rsidP="00512AE3">
            <w:pPr>
              <w:spacing w:before="60" w:after="60"/>
              <w:jc w:val="center"/>
              <w:rPr>
                <w:b/>
              </w:rPr>
            </w:pPr>
            <w:r w:rsidRPr="00DD1154">
              <w:rPr>
                <w:b/>
              </w:rPr>
              <w:t>Fond preuzeo obvezu (ugovoreno)</w:t>
            </w:r>
          </w:p>
          <w:p w14:paraId="71330A49" w14:textId="77777777" w:rsidR="00512AE3" w:rsidRPr="00DD1154" w:rsidRDefault="00512AE3" w:rsidP="00512AE3">
            <w:pPr>
              <w:spacing w:before="60" w:after="60"/>
              <w:jc w:val="center"/>
              <w:rPr>
                <w:b/>
              </w:rPr>
            </w:pPr>
          </w:p>
          <w:p w14:paraId="75959D87" w14:textId="7296417C" w:rsidR="00A1720D" w:rsidRPr="00DD1154" w:rsidRDefault="00485B28" w:rsidP="00512AE3">
            <w:pPr>
              <w:spacing w:before="60" w:after="60"/>
              <w:jc w:val="center"/>
              <w:rPr>
                <w:b/>
              </w:rPr>
            </w:pPr>
            <w:r w:rsidRPr="00DD1154">
              <w:rPr>
                <w:b/>
              </w:rPr>
              <w:t>(</w:t>
            </w:r>
            <w:r w:rsidR="00730ABE" w:rsidRPr="00DD1154">
              <w:rPr>
                <w:b/>
              </w:rPr>
              <w:t>kn</w:t>
            </w:r>
            <w:r w:rsidRPr="00DD1154">
              <w:rPr>
                <w:b/>
              </w:rPr>
              <w:t>)</w:t>
            </w:r>
          </w:p>
        </w:tc>
        <w:tc>
          <w:tcPr>
            <w:tcW w:w="1204" w:type="dxa"/>
            <w:shd w:val="clear" w:color="auto" w:fill="C6D9F1" w:themeFill="text2" w:themeFillTint="33"/>
            <w:vAlign w:val="center"/>
          </w:tcPr>
          <w:p w14:paraId="07C94B5E" w14:textId="2406B780" w:rsidR="00A1720D" w:rsidRPr="00DD1154" w:rsidRDefault="00485B28" w:rsidP="00485B28">
            <w:pPr>
              <w:spacing w:before="60" w:after="60"/>
              <w:jc w:val="center"/>
              <w:rPr>
                <w:b/>
              </w:rPr>
            </w:pPr>
            <w:r w:rsidRPr="00DD1154">
              <w:rPr>
                <w:b/>
              </w:rPr>
              <w:t>Udio u</w:t>
            </w:r>
            <w:r w:rsidR="00A1720D" w:rsidRPr="00DD1154">
              <w:rPr>
                <w:b/>
              </w:rPr>
              <w:t xml:space="preserve"> </w:t>
            </w:r>
            <w:r w:rsidR="005968FE" w:rsidRPr="00DD1154">
              <w:rPr>
                <w:b/>
              </w:rPr>
              <w:t>ukupn</w:t>
            </w:r>
            <w:r w:rsidRPr="00DD1154">
              <w:rPr>
                <w:b/>
              </w:rPr>
              <w:t>om</w:t>
            </w:r>
            <w:r w:rsidR="005968FE" w:rsidRPr="00DD1154">
              <w:rPr>
                <w:b/>
              </w:rPr>
              <w:t xml:space="preserve"> </w:t>
            </w:r>
            <w:r w:rsidR="00A1720D" w:rsidRPr="00DD1154">
              <w:rPr>
                <w:b/>
              </w:rPr>
              <w:t>prihod</w:t>
            </w:r>
            <w:r w:rsidRPr="00DD1154">
              <w:rPr>
                <w:b/>
              </w:rPr>
              <w:t>u (%)</w:t>
            </w:r>
          </w:p>
        </w:tc>
        <w:tc>
          <w:tcPr>
            <w:tcW w:w="2511" w:type="dxa"/>
            <w:shd w:val="clear" w:color="auto" w:fill="C6D9F1" w:themeFill="text2" w:themeFillTint="33"/>
            <w:vAlign w:val="center"/>
          </w:tcPr>
          <w:p w14:paraId="6DE81802" w14:textId="77777777" w:rsidR="00A1720D" w:rsidRPr="00DD1154" w:rsidRDefault="00A1720D" w:rsidP="00512AE3">
            <w:pPr>
              <w:spacing w:before="60" w:after="60"/>
              <w:jc w:val="center"/>
              <w:rPr>
                <w:b/>
              </w:rPr>
            </w:pPr>
            <w:r w:rsidRPr="00DD1154">
              <w:rPr>
                <w:b/>
              </w:rPr>
              <w:t>Realizirano (isplaćeno) 2017-2020.</w:t>
            </w:r>
          </w:p>
          <w:p w14:paraId="505D0A6C" w14:textId="0AAC32B0" w:rsidR="00485B28" w:rsidRPr="00DD1154" w:rsidRDefault="00485B28" w:rsidP="00512AE3">
            <w:pPr>
              <w:spacing w:before="60" w:after="60"/>
              <w:jc w:val="center"/>
              <w:rPr>
                <w:b/>
              </w:rPr>
            </w:pPr>
            <w:r w:rsidRPr="00DD1154">
              <w:rPr>
                <w:b/>
              </w:rPr>
              <w:t>(</w:t>
            </w:r>
            <w:r w:rsidR="00730ABE" w:rsidRPr="00DD1154">
              <w:rPr>
                <w:b/>
              </w:rPr>
              <w:t>kn</w:t>
            </w:r>
            <w:r w:rsidRPr="00DD1154">
              <w:rPr>
                <w:b/>
              </w:rPr>
              <w:t>)</w:t>
            </w:r>
          </w:p>
        </w:tc>
        <w:tc>
          <w:tcPr>
            <w:tcW w:w="1961" w:type="dxa"/>
            <w:shd w:val="clear" w:color="auto" w:fill="C6D9F1" w:themeFill="text2" w:themeFillTint="33"/>
            <w:vAlign w:val="center"/>
          </w:tcPr>
          <w:p w14:paraId="1C65B0B2" w14:textId="59E9BF61" w:rsidR="00A1720D" w:rsidRPr="00DD1154" w:rsidRDefault="00485B28" w:rsidP="00485B28">
            <w:pPr>
              <w:spacing w:before="60" w:after="60"/>
              <w:jc w:val="center"/>
              <w:rPr>
                <w:b/>
              </w:rPr>
            </w:pPr>
            <w:r w:rsidRPr="00DD1154">
              <w:rPr>
                <w:b/>
              </w:rPr>
              <w:t>Udio u</w:t>
            </w:r>
            <w:r w:rsidR="00A1720D" w:rsidRPr="00DD1154">
              <w:rPr>
                <w:b/>
              </w:rPr>
              <w:t xml:space="preserve"> preuzet</w:t>
            </w:r>
            <w:r w:rsidRPr="00DD1154">
              <w:rPr>
                <w:b/>
              </w:rPr>
              <w:t>im</w:t>
            </w:r>
            <w:r w:rsidR="00A1720D" w:rsidRPr="00DD1154">
              <w:rPr>
                <w:b/>
              </w:rPr>
              <w:t xml:space="preserve"> obvez</w:t>
            </w:r>
            <w:r w:rsidRPr="00DD1154">
              <w:rPr>
                <w:b/>
              </w:rPr>
              <w:t>ama (%)</w:t>
            </w:r>
          </w:p>
        </w:tc>
        <w:tc>
          <w:tcPr>
            <w:tcW w:w="1836" w:type="dxa"/>
            <w:shd w:val="clear" w:color="auto" w:fill="C6D9F1" w:themeFill="text2" w:themeFillTint="33"/>
            <w:vAlign w:val="center"/>
          </w:tcPr>
          <w:p w14:paraId="04385FE1" w14:textId="1568FB3E" w:rsidR="00A1720D" w:rsidRPr="00DD1154" w:rsidRDefault="00A1720D" w:rsidP="00512AE3">
            <w:pPr>
              <w:spacing w:before="60" w:after="60"/>
              <w:jc w:val="center"/>
              <w:rPr>
                <w:b/>
              </w:rPr>
            </w:pPr>
            <w:r w:rsidRPr="00DD1154">
              <w:rPr>
                <w:b/>
              </w:rPr>
              <w:t xml:space="preserve">Preostala preuzeta obveza </w:t>
            </w:r>
            <w:r w:rsidR="005968FE" w:rsidRPr="00DD1154">
              <w:rPr>
                <w:b/>
              </w:rPr>
              <w:t xml:space="preserve">31.12.2020. </w:t>
            </w:r>
            <w:r w:rsidRPr="00DD1154">
              <w:rPr>
                <w:b/>
              </w:rPr>
              <w:t xml:space="preserve">(neisplaćeno), </w:t>
            </w:r>
            <w:r w:rsidR="00485B28" w:rsidRPr="00DD1154">
              <w:rPr>
                <w:b/>
              </w:rPr>
              <w:t>(</w:t>
            </w:r>
            <w:r w:rsidR="00730ABE" w:rsidRPr="00DD1154">
              <w:rPr>
                <w:b/>
              </w:rPr>
              <w:t>kn</w:t>
            </w:r>
            <w:r w:rsidR="00485B28" w:rsidRPr="00DD1154">
              <w:rPr>
                <w:b/>
              </w:rPr>
              <w:t>)</w:t>
            </w:r>
          </w:p>
        </w:tc>
        <w:tc>
          <w:tcPr>
            <w:tcW w:w="1163" w:type="dxa"/>
            <w:shd w:val="clear" w:color="auto" w:fill="C6D9F1" w:themeFill="text2" w:themeFillTint="33"/>
            <w:vAlign w:val="center"/>
          </w:tcPr>
          <w:p w14:paraId="01C2EB98" w14:textId="0115B012" w:rsidR="00A1720D" w:rsidRPr="00DD1154" w:rsidRDefault="00485B28" w:rsidP="00512AE3">
            <w:pPr>
              <w:spacing w:before="60" w:after="60"/>
              <w:jc w:val="center"/>
              <w:rPr>
                <w:b/>
              </w:rPr>
            </w:pPr>
            <w:r w:rsidRPr="00DD1154">
              <w:rPr>
                <w:b/>
              </w:rPr>
              <w:t>P</w:t>
            </w:r>
            <w:r w:rsidR="00A1720D" w:rsidRPr="00DD1154">
              <w:rPr>
                <w:b/>
              </w:rPr>
              <w:t>reostale preuzete obveze</w:t>
            </w:r>
            <w:r w:rsidRPr="00DD1154">
              <w:rPr>
                <w:b/>
              </w:rPr>
              <w:t xml:space="preserve"> (%)</w:t>
            </w:r>
          </w:p>
        </w:tc>
        <w:tc>
          <w:tcPr>
            <w:tcW w:w="1716" w:type="dxa"/>
            <w:shd w:val="clear" w:color="auto" w:fill="C6D9F1" w:themeFill="text2" w:themeFillTint="33"/>
            <w:vAlign w:val="center"/>
          </w:tcPr>
          <w:p w14:paraId="2FFD42FF" w14:textId="77777777" w:rsidR="00A1720D" w:rsidRPr="00DD1154" w:rsidRDefault="00A1720D" w:rsidP="00512AE3">
            <w:pPr>
              <w:spacing w:before="60" w:after="60"/>
              <w:jc w:val="center"/>
              <w:rPr>
                <w:b/>
              </w:rPr>
            </w:pPr>
            <w:r w:rsidRPr="00DD1154">
              <w:rPr>
                <w:b/>
              </w:rPr>
              <w:t>Preostali iznos prenesen u novi Plan</w:t>
            </w:r>
          </w:p>
          <w:p w14:paraId="72D327B4" w14:textId="77777777" w:rsidR="00512AE3" w:rsidRPr="00DD1154" w:rsidRDefault="00512AE3" w:rsidP="00512AE3">
            <w:pPr>
              <w:spacing w:before="60" w:after="60"/>
              <w:jc w:val="center"/>
              <w:rPr>
                <w:b/>
              </w:rPr>
            </w:pPr>
          </w:p>
          <w:p w14:paraId="2DD4EA2E" w14:textId="4DA4F1B6" w:rsidR="00512AE3" w:rsidRPr="00DD1154" w:rsidRDefault="00485B28" w:rsidP="00512AE3">
            <w:pPr>
              <w:spacing w:before="60" w:after="60"/>
              <w:jc w:val="center"/>
              <w:rPr>
                <w:b/>
              </w:rPr>
            </w:pPr>
            <w:r w:rsidRPr="00DD1154">
              <w:rPr>
                <w:b/>
              </w:rPr>
              <w:t>(</w:t>
            </w:r>
            <w:r w:rsidR="00730ABE" w:rsidRPr="00DD1154">
              <w:rPr>
                <w:b/>
              </w:rPr>
              <w:t>kn</w:t>
            </w:r>
            <w:r w:rsidRPr="00DD1154">
              <w:rPr>
                <w:b/>
              </w:rPr>
              <w:t>)</w:t>
            </w:r>
          </w:p>
        </w:tc>
        <w:tc>
          <w:tcPr>
            <w:tcW w:w="1204" w:type="dxa"/>
            <w:shd w:val="clear" w:color="auto" w:fill="C6D9F1" w:themeFill="text2" w:themeFillTint="33"/>
            <w:vAlign w:val="center"/>
          </w:tcPr>
          <w:p w14:paraId="5C28B6E3" w14:textId="6032C842" w:rsidR="00485B28" w:rsidRPr="00DD1154" w:rsidRDefault="00485B28" w:rsidP="00485B28">
            <w:pPr>
              <w:spacing w:before="60" w:after="60"/>
              <w:jc w:val="center"/>
              <w:rPr>
                <w:b/>
              </w:rPr>
            </w:pPr>
            <w:r w:rsidRPr="00DD1154">
              <w:rPr>
                <w:b/>
              </w:rPr>
              <w:t xml:space="preserve">Udio u </w:t>
            </w:r>
            <w:r w:rsidR="00A1720D" w:rsidRPr="00DD1154">
              <w:rPr>
                <w:b/>
              </w:rPr>
              <w:t xml:space="preserve"> ukupno</w:t>
            </w:r>
            <w:r w:rsidRPr="00DD1154">
              <w:rPr>
                <w:b/>
              </w:rPr>
              <w:t>m</w:t>
            </w:r>
            <w:r w:rsidR="00A1720D" w:rsidRPr="00DD1154">
              <w:rPr>
                <w:b/>
              </w:rPr>
              <w:t xml:space="preserve"> prihod</w:t>
            </w:r>
            <w:r w:rsidRPr="00DD1154">
              <w:rPr>
                <w:b/>
              </w:rPr>
              <w:t>u (%)</w:t>
            </w:r>
          </w:p>
        </w:tc>
      </w:tr>
      <w:tr w:rsidR="005968FE" w:rsidRPr="00DD1154" w14:paraId="19307218" w14:textId="77777777" w:rsidTr="00CF3958">
        <w:trPr>
          <w:trHeight w:val="837"/>
        </w:trPr>
        <w:tc>
          <w:tcPr>
            <w:tcW w:w="1897" w:type="dxa"/>
            <w:vAlign w:val="center"/>
          </w:tcPr>
          <w:p w14:paraId="2425F0FC" w14:textId="2EBFAD09" w:rsidR="00A1720D" w:rsidRPr="00DD1154" w:rsidRDefault="00A1720D" w:rsidP="00512AE3">
            <w:pPr>
              <w:spacing w:before="60" w:after="60"/>
              <w:jc w:val="center"/>
              <w:rPr>
                <w:bCs/>
              </w:rPr>
            </w:pPr>
            <w:r w:rsidRPr="00DD1154">
              <w:rPr>
                <w:bCs/>
              </w:rPr>
              <w:t>1.724.799.274,06</w:t>
            </w:r>
          </w:p>
        </w:tc>
        <w:tc>
          <w:tcPr>
            <w:tcW w:w="1896" w:type="dxa"/>
            <w:vAlign w:val="center"/>
          </w:tcPr>
          <w:p w14:paraId="5E9AB8A1" w14:textId="1F5749A8" w:rsidR="00A1720D" w:rsidRPr="00DD1154" w:rsidRDefault="00A1720D" w:rsidP="000C1538">
            <w:pPr>
              <w:spacing w:before="60" w:after="60"/>
              <w:jc w:val="center"/>
              <w:rPr>
                <w:bCs/>
              </w:rPr>
            </w:pPr>
            <w:r w:rsidRPr="00DD1154">
              <w:rPr>
                <w:bCs/>
              </w:rPr>
              <w:t>1.535.344.</w:t>
            </w:r>
            <w:r w:rsidR="000C1538">
              <w:rPr>
                <w:bCs/>
              </w:rPr>
              <w:t>064,08</w:t>
            </w:r>
          </w:p>
        </w:tc>
        <w:tc>
          <w:tcPr>
            <w:tcW w:w="1204" w:type="dxa"/>
            <w:vAlign w:val="center"/>
          </w:tcPr>
          <w:p w14:paraId="70A9E475" w14:textId="09504A76" w:rsidR="00A1720D" w:rsidRPr="00DD1154" w:rsidRDefault="00A1720D" w:rsidP="00512AE3">
            <w:pPr>
              <w:spacing w:before="60" w:after="60"/>
              <w:jc w:val="center"/>
              <w:rPr>
                <w:bCs/>
              </w:rPr>
            </w:pPr>
            <w:r w:rsidRPr="00DD1154">
              <w:rPr>
                <w:bCs/>
              </w:rPr>
              <w:t>89,0</w:t>
            </w:r>
          </w:p>
        </w:tc>
        <w:tc>
          <w:tcPr>
            <w:tcW w:w="2511" w:type="dxa"/>
            <w:vAlign w:val="center"/>
          </w:tcPr>
          <w:p w14:paraId="40AE52E4" w14:textId="620702E8" w:rsidR="00A1720D" w:rsidRPr="00DD1154" w:rsidRDefault="00CF3958" w:rsidP="00512AE3">
            <w:pPr>
              <w:spacing w:before="60" w:after="60"/>
              <w:jc w:val="center"/>
              <w:rPr>
                <w:bCs/>
              </w:rPr>
            </w:pPr>
            <w:r w:rsidRPr="00CF3958">
              <w:rPr>
                <w:bCs/>
              </w:rPr>
              <w:t>639.835.611,16</w:t>
            </w:r>
          </w:p>
        </w:tc>
        <w:tc>
          <w:tcPr>
            <w:tcW w:w="1961" w:type="dxa"/>
            <w:vAlign w:val="center"/>
          </w:tcPr>
          <w:p w14:paraId="7AAECE5D" w14:textId="0808ACB1" w:rsidR="00A1720D" w:rsidRPr="00DD1154" w:rsidRDefault="00A1720D" w:rsidP="00512AE3">
            <w:pPr>
              <w:spacing w:before="60" w:after="60"/>
              <w:jc w:val="center"/>
              <w:rPr>
                <w:bCs/>
              </w:rPr>
            </w:pPr>
            <w:r w:rsidRPr="00DD1154">
              <w:rPr>
                <w:bCs/>
              </w:rPr>
              <w:t>41,67</w:t>
            </w:r>
          </w:p>
        </w:tc>
        <w:tc>
          <w:tcPr>
            <w:tcW w:w="1836" w:type="dxa"/>
            <w:vAlign w:val="center"/>
          </w:tcPr>
          <w:p w14:paraId="1F2FC850" w14:textId="28F70930" w:rsidR="00A1720D" w:rsidRPr="00DD1154" w:rsidRDefault="00FA6866" w:rsidP="00512AE3">
            <w:pPr>
              <w:spacing w:before="60" w:after="60"/>
              <w:jc w:val="center"/>
              <w:rPr>
                <w:bCs/>
              </w:rPr>
            </w:pPr>
            <w:r>
              <w:rPr>
                <w:bCs/>
              </w:rPr>
              <w:t>895.508.452,92</w:t>
            </w:r>
            <w:r w:rsidR="00E37099" w:rsidRPr="00DD1154">
              <w:rPr>
                <w:bCs/>
              </w:rPr>
              <w:t>*</w:t>
            </w:r>
          </w:p>
        </w:tc>
        <w:tc>
          <w:tcPr>
            <w:tcW w:w="1163" w:type="dxa"/>
            <w:vAlign w:val="center"/>
          </w:tcPr>
          <w:p w14:paraId="072468BA" w14:textId="6DED82F3" w:rsidR="00A1720D" w:rsidRPr="00DD1154" w:rsidRDefault="00A1720D" w:rsidP="00512AE3">
            <w:pPr>
              <w:spacing w:before="60" w:after="60"/>
              <w:jc w:val="center"/>
              <w:rPr>
                <w:bCs/>
              </w:rPr>
            </w:pPr>
            <w:r w:rsidRPr="00DD1154">
              <w:rPr>
                <w:bCs/>
              </w:rPr>
              <w:t>58,33</w:t>
            </w:r>
          </w:p>
        </w:tc>
        <w:tc>
          <w:tcPr>
            <w:tcW w:w="1716" w:type="dxa"/>
            <w:vAlign w:val="center"/>
          </w:tcPr>
          <w:p w14:paraId="1AD25BDF" w14:textId="6189DF56" w:rsidR="00A1720D" w:rsidRPr="00DD1154" w:rsidRDefault="00A1720D" w:rsidP="00512AE3">
            <w:pPr>
              <w:spacing w:before="60" w:after="60"/>
              <w:jc w:val="center"/>
              <w:rPr>
                <w:bCs/>
              </w:rPr>
            </w:pPr>
            <w:r w:rsidRPr="00DD1154">
              <w:rPr>
                <w:bCs/>
              </w:rPr>
              <w:t>189.455.210,66</w:t>
            </w:r>
          </w:p>
        </w:tc>
        <w:tc>
          <w:tcPr>
            <w:tcW w:w="1204" w:type="dxa"/>
            <w:vAlign w:val="center"/>
          </w:tcPr>
          <w:p w14:paraId="131B4B9D" w14:textId="64A97A50" w:rsidR="00A1720D" w:rsidRPr="00DD1154" w:rsidRDefault="00A1720D" w:rsidP="00512AE3">
            <w:pPr>
              <w:spacing w:before="60" w:after="60"/>
              <w:jc w:val="center"/>
              <w:rPr>
                <w:bCs/>
              </w:rPr>
            </w:pPr>
            <w:r w:rsidRPr="00DD1154">
              <w:rPr>
                <w:bCs/>
              </w:rPr>
              <w:t>11</w:t>
            </w:r>
          </w:p>
        </w:tc>
      </w:tr>
    </w:tbl>
    <w:p w14:paraId="3D622D93" w14:textId="77777777" w:rsidR="00A1720D" w:rsidRPr="00DD1154" w:rsidRDefault="00A1720D" w:rsidP="00B03C62">
      <w:pPr>
        <w:spacing w:after="0" w:line="240" w:lineRule="auto"/>
        <w:jc w:val="center"/>
      </w:pPr>
    </w:p>
    <w:p w14:paraId="11BE306B" w14:textId="767F8EC0" w:rsidR="00A1720D" w:rsidRPr="00DD1154" w:rsidRDefault="00E37099" w:rsidP="00E37099">
      <w:pPr>
        <w:spacing w:after="0" w:line="240" w:lineRule="auto"/>
      </w:pPr>
      <w:r w:rsidRPr="00DD1154">
        <w:t>*</w:t>
      </w:r>
      <w:r w:rsidR="00391613" w:rsidRPr="00DD1154">
        <w:t>P</w:t>
      </w:r>
      <w:r w:rsidRPr="00DD1154">
        <w:t>reostali neisplaćeni iznos</w:t>
      </w:r>
      <w:r w:rsidR="00391613" w:rsidRPr="00DD1154">
        <w:t xml:space="preserve"> je potrebno izvještavati po godišnjoj realizaciji (isplati)</w:t>
      </w:r>
      <w:r w:rsidR="000F11BE" w:rsidRPr="00DD1154">
        <w:t xml:space="preserve"> u narednom razdoblju</w:t>
      </w:r>
    </w:p>
    <w:sectPr w:rsidR="00A1720D" w:rsidRPr="00DD1154" w:rsidSect="00661B29">
      <w:headerReference w:type="default" r:id="rId17"/>
      <w:footerReference w:type="default" r:id="rId1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11E2F" w14:textId="77777777" w:rsidR="0080100D" w:rsidRPr="00C30297" w:rsidRDefault="0080100D" w:rsidP="0055154B">
      <w:pPr>
        <w:spacing w:after="0" w:line="240" w:lineRule="auto"/>
        <w:rPr>
          <w:sz w:val="23"/>
          <w:szCs w:val="23"/>
        </w:rPr>
      </w:pPr>
      <w:r w:rsidRPr="00C30297">
        <w:rPr>
          <w:sz w:val="23"/>
          <w:szCs w:val="23"/>
        </w:rPr>
        <w:separator/>
      </w:r>
    </w:p>
  </w:endnote>
  <w:endnote w:type="continuationSeparator" w:id="0">
    <w:p w14:paraId="2D97D2B4" w14:textId="77777777" w:rsidR="0080100D" w:rsidRPr="00C30297" w:rsidRDefault="0080100D" w:rsidP="0055154B">
      <w:pPr>
        <w:spacing w:after="0" w:line="240" w:lineRule="auto"/>
        <w:rPr>
          <w:sz w:val="23"/>
          <w:szCs w:val="23"/>
        </w:rPr>
      </w:pPr>
      <w:r w:rsidRPr="00C3029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3"/>
        <w:szCs w:val="23"/>
      </w:rPr>
      <w:id w:val="917066913"/>
      <w:docPartObj>
        <w:docPartGallery w:val="Page Numbers (Bottom of Page)"/>
        <w:docPartUnique/>
      </w:docPartObj>
    </w:sdtPr>
    <w:sdtEndPr/>
    <w:sdtContent>
      <w:p w14:paraId="08F7112E" w14:textId="0ADF5D51" w:rsidR="000C1538" w:rsidRPr="00C30297" w:rsidRDefault="000C1538">
        <w:pPr>
          <w:pStyle w:val="Footer"/>
          <w:jc w:val="center"/>
          <w:rPr>
            <w:sz w:val="23"/>
            <w:szCs w:val="23"/>
          </w:rPr>
        </w:pPr>
        <w:r w:rsidRPr="00C30297">
          <w:rPr>
            <w:sz w:val="23"/>
            <w:szCs w:val="23"/>
          </w:rPr>
          <w:fldChar w:fldCharType="begin"/>
        </w:r>
        <w:r w:rsidRPr="00C30297">
          <w:rPr>
            <w:sz w:val="23"/>
            <w:szCs w:val="23"/>
          </w:rPr>
          <w:instrText>PAGE   \* MERGEFORMAT</w:instrText>
        </w:r>
        <w:r w:rsidRPr="00C30297">
          <w:rPr>
            <w:sz w:val="23"/>
            <w:szCs w:val="23"/>
          </w:rPr>
          <w:fldChar w:fldCharType="separate"/>
        </w:r>
        <w:r w:rsidR="00606B19">
          <w:rPr>
            <w:noProof/>
            <w:sz w:val="23"/>
            <w:szCs w:val="23"/>
          </w:rPr>
          <w:t>2</w:t>
        </w:r>
        <w:r w:rsidRPr="00C30297">
          <w:rPr>
            <w:sz w:val="23"/>
            <w:szCs w:val="23"/>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3"/>
        <w:szCs w:val="23"/>
      </w:rPr>
      <w:id w:val="1195049187"/>
      <w:docPartObj>
        <w:docPartGallery w:val="Page Numbers (Bottom of Page)"/>
        <w:docPartUnique/>
      </w:docPartObj>
    </w:sdtPr>
    <w:sdtEndPr/>
    <w:sdtContent>
      <w:p w14:paraId="20365720" w14:textId="69AD606D" w:rsidR="000C1538" w:rsidRPr="00C30297" w:rsidRDefault="000C1538">
        <w:pPr>
          <w:pStyle w:val="Footer"/>
          <w:jc w:val="center"/>
          <w:rPr>
            <w:sz w:val="23"/>
            <w:szCs w:val="23"/>
          </w:rPr>
        </w:pPr>
        <w:r w:rsidRPr="00C30297">
          <w:rPr>
            <w:sz w:val="23"/>
            <w:szCs w:val="23"/>
          </w:rPr>
          <w:fldChar w:fldCharType="begin"/>
        </w:r>
        <w:r w:rsidRPr="00C30297">
          <w:rPr>
            <w:sz w:val="23"/>
            <w:szCs w:val="23"/>
          </w:rPr>
          <w:instrText>PAGE   \* MERGEFORMAT</w:instrText>
        </w:r>
        <w:r w:rsidRPr="00C30297">
          <w:rPr>
            <w:sz w:val="23"/>
            <w:szCs w:val="23"/>
          </w:rPr>
          <w:fldChar w:fldCharType="separate"/>
        </w:r>
        <w:r w:rsidR="00606B19">
          <w:rPr>
            <w:noProof/>
            <w:sz w:val="23"/>
            <w:szCs w:val="23"/>
          </w:rPr>
          <w:t>26</w:t>
        </w:r>
        <w:r w:rsidRPr="00C30297">
          <w:rPr>
            <w:sz w:val="23"/>
            <w:szCs w:val="23"/>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3"/>
        <w:szCs w:val="23"/>
      </w:rPr>
      <w:id w:val="796418396"/>
      <w:docPartObj>
        <w:docPartGallery w:val="Page Numbers (Bottom of Page)"/>
        <w:docPartUnique/>
      </w:docPartObj>
    </w:sdtPr>
    <w:sdtEndPr/>
    <w:sdtContent>
      <w:p w14:paraId="263EB3B2" w14:textId="01CE47C2" w:rsidR="000C1538" w:rsidRPr="00C30297" w:rsidRDefault="000C1538">
        <w:pPr>
          <w:pStyle w:val="Footer"/>
          <w:jc w:val="center"/>
          <w:rPr>
            <w:sz w:val="23"/>
            <w:szCs w:val="23"/>
          </w:rPr>
        </w:pPr>
        <w:r w:rsidRPr="00C30297">
          <w:rPr>
            <w:sz w:val="23"/>
            <w:szCs w:val="23"/>
          </w:rPr>
          <w:fldChar w:fldCharType="begin"/>
        </w:r>
        <w:r w:rsidRPr="00C30297">
          <w:rPr>
            <w:sz w:val="23"/>
            <w:szCs w:val="23"/>
          </w:rPr>
          <w:instrText>PAGE   \* MERGEFORMAT</w:instrText>
        </w:r>
        <w:r w:rsidRPr="00C30297">
          <w:rPr>
            <w:sz w:val="23"/>
            <w:szCs w:val="23"/>
          </w:rPr>
          <w:fldChar w:fldCharType="separate"/>
        </w:r>
        <w:r w:rsidR="00606B19">
          <w:rPr>
            <w:noProof/>
            <w:sz w:val="23"/>
            <w:szCs w:val="23"/>
          </w:rPr>
          <w:t>28</w:t>
        </w:r>
        <w:r w:rsidRPr="00C30297">
          <w:rPr>
            <w:sz w:val="23"/>
            <w:szCs w:val="2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20C1C" w14:textId="77777777" w:rsidR="0080100D" w:rsidRPr="00C30297" w:rsidRDefault="0080100D" w:rsidP="0055154B">
      <w:pPr>
        <w:spacing w:after="0" w:line="240" w:lineRule="auto"/>
        <w:rPr>
          <w:sz w:val="23"/>
          <w:szCs w:val="23"/>
        </w:rPr>
      </w:pPr>
      <w:r w:rsidRPr="00C30297">
        <w:rPr>
          <w:sz w:val="23"/>
          <w:szCs w:val="23"/>
        </w:rPr>
        <w:separator/>
      </w:r>
    </w:p>
  </w:footnote>
  <w:footnote w:type="continuationSeparator" w:id="0">
    <w:p w14:paraId="271FF821" w14:textId="77777777" w:rsidR="0080100D" w:rsidRPr="00C30297" w:rsidRDefault="0080100D" w:rsidP="0055154B">
      <w:pPr>
        <w:spacing w:after="0" w:line="240" w:lineRule="auto"/>
        <w:rPr>
          <w:sz w:val="23"/>
          <w:szCs w:val="23"/>
        </w:rPr>
      </w:pPr>
      <w:r w:rsidRPr="00C30297">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5CD5C" w14:textId="28B0D77A" w:rsidR="000C1538" w:rsidRPr="00C30297" w:rsidRDefault="000C1538">
    <w:pPr>
      <w:pStyle w:val="Header"/>
      <w:rPr>
        <w:i/>
        <w:sz w:val="23"/>
        <w:szCs w:val="23"/>
      </w:rPr>
    </w:pPr>
    <w:r w:rsidRPr="00C30297">
      <w:rPr>
        <w:i/>
        <w:sz w:val="23"/>
        <w:szCs w:val="23"/>
      </w:rPr>
      <w:tab/>
    </w:r>
    <w:r w:rsidRPr="00C30297">
      <w:rPr>
        <w:i/>
        <w:sz w:val="23"/>
        <w:szCs w:val="23"/>
      </w:rPr>
      <w:tab/>
    </w:r>
    <w:r>
      <w:rPr>
        <w:i/>
        <w:sz w:val="23"/>
        <w:szCs w:val="23"/>
      </w:rPr>
      <w:t>I</w:t>
    </w:r>
    <w:r w:rsidRPr="00C30297">
      <w:rPr>
        <w:i/>
        <w:sz w:val="23"/>
        <w:szCs w:val="23"/>
      </w:rPr>
      <w:t xml:space="preserve">zvješće za </w:t>
    </w:r>
    <w:r>
      <w:rPr>
        <w:i/>
        <w:sz w:val="23"/>
        <w:szCs w:val="23"/>
      </w:rPr>
      <w:t xml:space="preserve">2019. i </w:t>
    </w:r>
    <w:r w:rsidRPr="00C30297">
      <w:rPr>
        <w:i/>
        <w:sz w:val="23"/>
        <w:szCs w:val="23"/>
      </w:rPr>
      <w:t>2020. godinu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1DAF" w14:textId="5AE5C662" w:rsidR="000C1538" w:rsidRPr="00C30297" w:rsidRDefault="000C1538" w:rsidP="008607B4">
    <w:pPr>
      <w:pStyle w:val="Header"/>
      <w:tabs>
        <w:tab w:val="clear" w:pos="9072"/>
        <w:tab w:val="right" w:pos="14884"/>
      </w:tabs>
      <w:rPr>
        <w:i/>
        <w:sz w:val="23"/>
        <w:szCs w:val="23"/>
      </w:rPr>
    </w:pPr>
    <w:r w:rsidRPr="00C30297">
      <w:rPr>
        <w:i/>
        <w:sz w:val="23"/>
        <w:szCs w:val="23"/>
      </w:rPr>
      <w:tab/>
    </w:r>
    <w:r w:rsidRPr="00C30297">
      <w:rPr>
        <w:i/>
        <w:sz w:val="23"/>
        <w:szCs w:val="23"/>
      </w:rPr>
      <w:tab/>
      <w:t>Izvješće za 20</w:t>
    </w:r>
    <w:r>
      <w:rPr>
        <w:i/>
        <w:sz w:val="23"/>
        <w:szCs w:val="23"/>
      </w:rPr>
      <w:t>19. i 2020.</w:t>
    </w:r>
    <w:r w:rsidRPr="00C30297">
      <w:rPr>
        <w:i/>
        <w:sz w:val="23"/>
        <w:szCs w:val="23"/>
      </w:rPr>
      <w:t xml:space="preserve"> godinu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E602F" w14:textId="11A60E3A" w:rsidR="000C1538" w:rsidRPr="00C30297" w:rsidRDefault="000C1538" w:rsidP="008607B4">
    <w:pPr>
      <w:pStyle w:val="Header"/>
      <w:tabs>
        <w:tab w:val="clear" w:pos="9072"/>
        <w:tab w:val="right" w:pos="14884"/>
      </w:tabs>
      <w:rPr>
        <w:i/>
        <w:sz w:val="23"/>
        <w:szCs w:val="23"/>
      </w:rPr>
    </w:pPr>
    <w:r w:rsidRPr="00C30297">
      <w:rPr>
        <w:i/>
        <w:sz w:val="23"/>
        <w:szCs w:val="23"/>
      </w:rPr>
      <w:tab/>
    </w:r>
    <w:r>
      <w:rPr>
        <w:i/>
        <w:sz w:val="23"/>
        <w:szCs w:val="23"/>
      </w:rPr>
      <w:tab/>
    </w:r>
    <w:r>
      <w:rPr>
        <w:i/>
        <w:sz w:val="23"/>
        <w:szCs w:val="23"/>
      </w:rPr>
      <w:tab/>
    </w:r>
    <w:r>
      <w:rPr>
        <w:i/>
        <w:sz w:val="23"/>
        <w:szCs w:val="23"/>
      </w:rPr>
      <w:tab/>
    </w:r>
    <w:r>
      <w:rPr>
        <w:i/>
        <w:sz w:val="23"/>
        <w:szCs w:val="23"/>
      </w:rPr>
      <w:tab/>
    </w:r>
    <w:r w:rsidRPr="00C30297">
      <w:rPr>
        <w:i/>
        <w:sz w:val="23"/>
        <w:szCs w:val="23"/>
      </w:rPr>
      <w:t>Izvješće za 20</w:t>
    </w:r>
    <w:r>
      <w:rPr>
        <w:i/>
        <w:sz w:val="23"/>
        <w:szCs w:val="23"/>
      </w:rPr>
      <w:t>19. i 2020</w:t>
    </w:r>
    <w:r w:rsidRPr="00C30297">
      <w:rPr>
        <w:i/>
        <w:sz w:val="23"/>
        <w:szCs w:val="23"/>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6438"/>
    <w:multiLevelType w:val="hybridMultilevel"/>
    <w:tmpl w:val="1F181C2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12823881"/>
    <w:multiLevelType w:val="hybridMultilevel"/>
    <w:tmpl w:val="C784C4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9D087C"/>
    <w:multiLevelType w:val="hybridMultilevel"/>
    <w:tmpl w:val="56D0F6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F64261"/>
    <w:multiLevelType w:val="hybridMultilevel"/>
    <w:tmpl w:val="8DBABA52"/>
    <w:lvl w:ilvl="0" w:tplc="041A0003">
      <w:start w:val="1"/>
      <w:numFmt w:val="bullet"/>
      <w:lvlText w:val="o"/>
      <w:lvlJc w:val="left"/>
      <w:pPr>
        <w:ind w:left="1713" w:hanging="360"/>
      </w:pPr>
      <w:rPr>
        <w:rFonts w:ascii="Courier New" w:hAnsi="Courier New" w:cs="Courier New"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4" w15:restartNumberingAfterBreak="0">
    <w:nsid w:val="205F026D"/>
    <w:multiLevelType w:val="hybridMultilevel"/>
    <w:tmpl w:val="67360C7A"/>
    <w:lvl w:ilvl="0" w:tplc="041A0001">
      <w:start w:val="1"/>
      <w:numFmt w:val="bullet"/>
      <w:lvlText w:val=""/>
      <w:lvlJc w:val="left"/>
      <w:pPr>
        <w:ind w:left="2727" w:hanging="360"/>
      </w:pPr>
      <w:rPr>
        <w:rFonts w:ascii="Symbol" w:hAnsi="Symbol" w:hint="default"/>
      </w:rPr>
    </w:lvl>
    <w:lvl w:ilvl="1" w:tplc="041A0003" w:tentative="1">
      <w:start w:val="1"/>
      <w:numFmt w:val="bullet"/>
      <w:lvlText w:val="o"/>
      <w:lvlJc w:val="left"/>
      <w:pPr>
        <w:ind w:left="3447" w:hanging="360"/>
      </w:pPr>
      <w:rPr>
        <w:rFonts w:ascii="Courier New" w:hAnsi="Courier New" w:cs="Courier New" w:hint="default"/>
      </w:rPr>
    </w:lvl>
    <w:lvl w:ilvl="2" w:tplc="041A0005" w:tentative="1">
      <w:start w:val="1"/>
      <w:numFmt w:val="bullet"/>
      <w:lvlText w:val=""/>
      <w:lvlJc w:val="left"/>
      <w:pPr>
        <w:ind w:left="4167" w:hanging="360"/>
      </w:pPr>
      <w:rPr>
        <w:rFonts w:ascii="Wingdings" w:hAnsi="Wingdings" w:hint="default"/>
      </w:rPr>
    </w:lvl>
    <w:lvl w:ilvl="3" w:tplc="041A0001" w:tentative="1">
      <w:start w:val="1"/>
      <w:numFmt w:val="bullet"/>
      <w:lvlText w:val=""/>
      <w:lvlJc w:val="left"/>
      <w:pPr>
        <w:ind w:left="4887" w:hanging="360"/>
      </w:pPr>
      <w:rPr>
        <w:rFonts w:ascii="Symbol" w:hAnsi="Symbol" w:hint="default"/>
      </w:rPr>
    </w:lvl>
    <w:lvl w:ilvl="4" w:tplc="041A0003" w:tentative="1">
      <w:start w:val="1"/>
      <w:numFmt w:val="bullet"/>
      <w:lvlText w:val="o"/>
      <w:lvlJc w:val="left"/>
      <w:pPr>
        <w:ind w:left="5607" w:hanging="360"/>
      </w:pPr>
      <w:rPr>
        <w:rFonts w:ascii="Courier New" w:hAnsi="Courier New" w:cs="Courier New" w:hint="default"/>
      </w:rPr>
    </w:lvl>
    <w:lvl w:ilvl="5" w:tplc="041A0005" w:tentative="1">
      <w:start w:val="1"/>
      <w:numFmt w:val="bullet"/>
      <w:lvlText w:val=""/>
      <w:lvlJc w:val="left"/>
      <w:pPr>
        <w:ind w:left="6327" w:hanging="360"/>
      </w:pPr>
      <w:rPr>
        <w:rFonts w:ascii="Wingdings" w:hAnsi="Wingdings" w:hint="default"/>
      </w:rPr>
    </w:lvl>
    <w:lvl w:ilvl="6" w:tplc="041A0001" w:tentative="1">
      <w:start w:val="1"/>
      <w:numFmt w:val="bullet"/>
      <w:lvlText w:val=""/>
      <w:lvlJc w:val="left"/>
      <w:pPr>
        <w:ind w:left="7047" w:hanging="360"/>
      </w:pPr>
      <w:rPr>
        <w:rFonts w:ascii="Symbol" w:hAnsi="Symbol" w:hint="default"/>
      </w:rPr>
    </w:lvl>
    <w:lvl w:ilvl="7" w:tplc="041A0003" w:tentative="1">
      <w:start w:val="1"/>
      <w:numFmt w:val="bullet"/>
      <w:lvlText w:val="o"/>
      <w:lvlJc w:val="left"/>
      <w:pPr>
        <w:ind w:left="7767" w:hanging="360"/>
      </w:pPr>
      <w:rPr>
        <w:rFonts w:ascii="Courier New" w:hAnsi="Courier New" w:cs="Courier New" w:hint="default"/>
      </w:rPr>
    </w:lvl>
    <w:lvl w:ilvl="8" w:tplc="041A0005" w:tentative="1">
      <w:start w:val="1"/>
      <w:numFmt w:val="bullet"/>
      <w:lvlText w:val=""/>
      <w:lvlJc w:val="left"/>
      <w:pPr>
        <w:ind w:left="8487" w:hanging="360"/>
      </w:pPr>
      <w:rPr>
        <w:rFonts w:ascii="Wingdings" w:hAnsi="Wingdings" w:hint="default"/>
      </w:rPr>
    </w:lvl>
  </w:abstractNum>
  <w:abstractNum w:abstractNumId="5" w15:restartNumberingAfterBreak="0">
    <w:nsid w:val="245632B9"/>
    <w:multiLevelType w:val="hybridMultilevel"/>
    <w:tmpl w:val="9A846588"/>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292E7B67"/>
    <w:multiLevelType w:val="hybridMultilevel"/>
    <w:tmpl w:val="E7FAE39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2C41786E"/>
    <w:multiLevelType w:val="hybridMultilevel"/>
    <w:tmpl w:val="D974F356"/>
    <w:lvl w:ilvl="0" w:tplc="A83E027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357736"/>
    <w:multiLevelType w:val="multilevel"/>
    <w:tmpl w:val="661CC5DE"/>
    <w:lvl w:ilvl="0">
      <w:start w:val="2"/>
      <w:numFmt w:val="decimal"/>
      <w:lvlText w:val="%1."/>
      <w:lvlJc w:val="left"/>
      <w:pPr>
        <w:ind w:left="450" w:hanging="450"/>
      </w:pPr>
      <w:rPr>
        <w:rFonts w:hint="default"/>
      </w:rPr>
    </w:lvl>
    <w:lvl w:ilvl="1">
      <w:start w:val="1"/>
      <w:numFmt w:val="decimal"/>
      <w:pStyle w:val="Heading2"/>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1B702C5"/>
    <w:multiLevelType w:val="multilevel"/>
    <w:tmpl w:val="EF843478"/>
    <w:lvl w:ilvl="0">
      <w:start w:val="1"/>
      <w:numFmt w:val="decimal"/>
      <w:lvlText w:val="%1."/>
      <w:lvlJc w:val="left"/>
      <w:pPr>
        <w:ind w:left="720" w:hanging="360"/>
      </w:pPr>
    </w:lvl>
    <w:lvl w:ilvl="1">
      <w:start w:val="7"/>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41F39C5"/>
    <w:multiLevelType w:val="hybridMultilevel"/>
    <w:tmpl w:val="F378CFA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375A3FCD"/>
    <w:multiLevelType w:val="multilevel"/>
    <w:tmpl w:val="950A3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0A5656"/>
    <w:multiLevelType w:val="hybridMultilevel"/>
    <w:tmpl w:val="CA68AC0A"/>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546D1D0D"/>
    <w:multiLevelType w:val="hybridMultilevel"/>
    <w:tmpl w:val="49304E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C12159"/>
    <w:multiLevelType w:val="multilevel"/>
    <w:tmpl w:val="2A58DBDA"/>
    <w:lvl w:ilvl="0">
      <w:start w:val="1"/>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15" w15:restartNumberingAfterBreak="0">
    <w:nsid w:val="5E273A53"/>
    <w:multiLevelType w:val="hybridMultilevel"/>
    <w:tmpl w:val="BEE4A1A8"/>
    <w:lvl w:ilvl="0" w:tplc="576AF68E">
      <w:start w:val="1"/>
      <w:numFmt w:val="decimal"/>
      <w:pStyle w:val="Heading1"/>
      <w:lvlText w:val="%1."/>
      <w:lvlJc w:val="left"/>
      <w:pPr>
        <w:ind w:left="1068"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2F6EE9CA">
      <w:numFmt w:val="bullet"/>
      <w:lvlText w:val="•"/>
      <w:lvlJc w:val="left"/>
      <w:pPr>
        <w:ind w:left="1785" w:hanging="705"/>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A56006"/>
    <w:multiLevelType w:val="hybridMultilevel"/>
    <w:tmpl w:val="0234D88C"/>
    <w:lvl w:ilvl="0" w:tplc="2F6EE9CA">
      <w:numFmt w:val="bullet"/>
      <w:lvlText w:val="•"/>
      <w:lvlJc w:val="left"/>
      <w:pPr>
        <w:ind w:left="1713" w:hanging="360"/>
      </w:pPr>
      <w:rPr>
        <w:rFonts w:ascii="Times New Roman" w:eastAsiaTheme="minorHAnsi"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7" w15:restartNumberingAfterBreak="0">
    <w:nsid w:val="70732DCB"/>
    <w:multiLevelType w:val="hybridMultilevel"/>
    <w:tmpl w:val="FB7C7BD2"/>
    <w:lvl w:ilvl="0" w:tplc="356E0408">
      <w:start w:val="29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8826175"/>
    <w:multiLevelType w:val="hybridMultilevel"/>
    <w:tmpl w:val="2D1E5FE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15"/>
  </w:num>
  <w:num w:numId="2">
    <w:abstractNumId w:val="8"/>
  </w:num>
  <w:num w:numId="3">
    <w:abstractNumId w:val="17"/>
  </w:num>
  <w:num w:numId="4">
    <w:abstractNumId w:val="7"/>
  </w:num>
  <w:num w:numId="5">
    <w:abstractNumId w:val="9"/>
  </w:num>
  <w:num w:numId="6">
    <w:abstractNumId w:val="13"/>
  </w:num>
  <w:num w:numId="7">
    <w:abstractNumId w:val="12"/>
  </w:num>
  <w:num w:numId="8">
    <w:abstractNumId w:val="0"/>
  </w:num>
  <w:num w:numId="9">
    <w:abstractNumId w:val="5"/>
  </w:num>
  <w:num w:numId="10">
    <w:abstractNumId w:val="1"/>
  </w:num>
  <w:num w:numId="11">
    <w:abstractNumId w:val="4"/>
  </w:num>
  <w:num w:numId="12">
    <w:abstractNumId w:val="6"/>
  </w:num>
  <w:num w:numId="13">
    <w:abstractNumId w:val="10"/>
  </w:num>
  <w:num w:numId="14">
    <w:abstractNumId w:val="18"/>
  </w:num>
  <w:num w:numId="15">
    <w:abstractNumId w:val="2"/>
  </w:num>
  <w:num w:numId="16">
    <w:abstractNumId w:val="3"/>
  </w:num>
  <w:num w:numId="17">
    <w:abstractNumId w:val="16"/>
  </w:num>
  <w:num w:numId="18">
    <w:abstractNumId w:val="14"/>
  </w:num>
  <w:num w:numId="19">
    <w:abstractNumId w:val="11"/>
  </w:num>
  <w:num w:numId="20">
    <w:abstractNumId w:val="8"/>
  </w:num>
  <w:num w:numId="21">
    <w:abstractNumId w:val="8"/>
  </w:num>
  <w:num w:numId="2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9D"/>
    <w:rsid w:val="00000A6B"/>
    <w:rsid w:val="00000F9C"/>
    <w:rsid w:val="00006571"/>
    <w:rsid w:val="00007894"/>
    <w:rsid w:val="00010E75"/>
    <w:rsid w:val="000131F6"/>
    <w:rsid w:val="00016B8D"/>
    <w:rsid w:val="00017476"/>
    <w:rsid w:val="00021ABC"/>
    <w:rsid w:val="00022963"/>
    <w:rsid w:val="0002604D"/>
    <w:rsid w:val="00026354"/>
    <w:rsid w:val="00026BCC"/>
    <w:rsid w:val="000273E8"/>
    <w:rsid w:val="000276F8"/>
    <w:rsid w:val="00027F8A"/>
    <w:rsid w:val="0003006A"/>
    <w:rsid w:val="0003070F"/>
    <w:rsid w:val="000315A4"/>
    <w:rsid w:val="00033275"/>
    <w:rsid w:val="0003359F"/>
    <w:rsid w:val="00033B5A"/>
    <w:rsid w:val="00034AD6"/>
    <w:rsid w:val="0003652B"/>
    <w:rsid w:val="0004293F"/>
    <w:rsid w:val="00045723"/>
    <w:rsid w:val="00047F42"/>
    <w:rsid w:val="000532CC"/>
    <w:rsid w:val="00054DBD"/>
    <w:rsid w:val="000603D5"/>
    <w:rsid w:val="0006689A"/>
    <w:rsid w:val="0007011B"/>
    <w:rsid w:val="00070185"/>
    <w:rsid w:val="00071791"/>
    <w:rsid w:val="000742CE"/>
    <w:rsid w:val="00074CFB"/>
    <w:rsid w:val="00075610"/>
    <w:rsid w:val="00075BAF"/>
    <w:rsid w:val="000808B6"/>
    <w:rsid w:val="00080C1C"/>
    <w:rsid w:val="00082BCE"/>
    <w:rsid w:val="00082EB1"/>
    <w:rsid w:val="000851B6"/>
    <w:rsid w:val="000851FF"/>
    <w:rsid w:val="000860E0"/>
    <w:rsid w:val="00087E91"/>
    <w:rsid w:val="00094706"/>
    <w:rsid w:val="0009569F"/>
    <w:rsid w:val="00096409"/>
    <w:rsid w:val="00096508"/>
    <w:rsid w:val="00096561"/>
    <w:rsid w:val="0009659A"/>
    <w:rsid w:val="00096FB4"/>
    <w:rsid w:val="00097DA3"/>
    <w:rsid w:val="000A2337"/>
    <w:rsid w:val="000A3A65"/>
    <w:rsid w:val="000A43B0"/>
    <w:rsid w:val="000A48F9"/>
    <w:rsid w:val="000A55DA"/>
    <w:rsid w:val="000B1118"/>
    <w:rsid w:val="000B21ED"/>
    <w:rsid w:val="000B23E8"/>
    <w:rsid w:val="000B4CC3"/>
    <w:rsid w:val="000B5C97"/>
    <w:rsid w:val="000C0A79"/>
    <w:rsid w:val="000C1538"/>
    <w:rsid w:val="000C311A"/>
    <w:rsid w:val="000C390F"/>
    <w:rsid w:val="000C39BB"/>
    <w:rsid w:val="000C3A76"/>
    <w:rsid w:val="000C4562"/>
    <w:rsid w:val="000C4D9F"/>
    <w:rsid w:val="000C5CE0"/>
    <w:rsid w:val="000C6A33"/>
    <w:rsid w:val="000C7976"/>
    <w:rsid w:val="000D0509"/>
    <w:rsid w:val="000D1EEE"/>
    <w:rsid w:val="000D2CA3"/>
    <w:rsid w:val="000D2D9D"/>
    <w:rsid w:val="000D4589"/>
    <w:rsid w:val="000D4AED"/>
    <w:rsid w:val="000D61CE"/>
    <w:rsid w:val="000D7045"/>
    <w:rsid w:val="000D78B7"/>
    <w:rsid w:val="000E2B14"/>
    <w:rsid w:val="000E3522"/>
    <w:rsid w:val="000E46CF"/>
    <w:rsid w:val="000E541F"/>
    <w:rsid w:val="000E7A56"/>
    <w:rsid w:val="000F11BE"/>
    <w:rsid w:val="000F1E53"/>
    <w:rsid w:val="000F2A39"/>
    <w:rsid w:val="000F4176"/>
    <w:rsid w:val="000F44A9"/>
    <w:rsid w:val="000F746A"/>
    <w:rsid w:val="00103F99"/>
    <w:rsid w:val="001041A8"/>
    <w:rsid w:val="00104D4A"/>
    <w:rsid w:val="00105980"/>
    <w:rsid w:val="001060CC"/>
    <w:rsid w:val="0011082E"/>
    <w:rsid w:val="00110940"/>
    <w:rsid w:val="0011118A"/>
    <w:rsid w:val="00111465"/>
    <w:rsid w:val="0011174F"/>
    <w:rsid w:val="00112B99"/>
    <w:rsid w:val="0011679D"/>
    <w:rsid w:val="00122D4C"/>
    <w:rsid w:val="00123D3D"/>
    <w:rsid w:val="0012483C"/>
    <w:rsid w:val="001261E6"/>
    <w:rsid w:val="001278EA"/>
    <w:rsid w:val="00131FF5"/>
    <w:rsid w:val="0013239D"/>
    <w:rsid w:val="001327F3"/>
    <w:rsid w:val="00134EE5"/>
    <w:rsid w:val="0013576B"/>
    <w:rsid w:val="00137708"/>
    <w:rsid w:val="00141B7C"/>
    <w:rsid w:val="00142932"/>
    <w:rsid w:val="00144D90"/>
    <w:rsid w:val="00145259"/>
    <w:rsid w:val="001522B0"/>
    <w:rsid w:val="00152DE5"/>
    <w:rsid w:val="00153220"/>
    <w:rsid w:val="00155976"/>
    <w:rsid w:val="00156409"/>
    <w:rsid w:val="0015640D"/>
    <w:rsid w:val="001565EC"/>
    <w:rsid w:val="00162AC2"/>
    <w:rsid w:val="0016307F"/>
    <w:rsid w:val="00163790"/>
    <w:rsid w:val="0016500B"/>
    <w:rsid w:val="00171D0C"/>
    <w:rsid w:val="001727AE"/>
    <w:rsid w:val="0017292E"/>
    <w:rsid w:val="00172AF6"/>
    <w:rsid w:val="00175581"/>
    <w:rsid w:val="0017566F"/>
    <w:rsid w:val="001767A5"/>
    <w:rsid w:val="001806EA"/>
    <w:rsid w:val="001829FB"/>
    <w:rsid w:val="00182C40"/>
    <w:rsid w:val="00183B85"/>
    <w:rsid w:val="00184207"/>
    <w:rsid w:val="00184A76"/>
    <w:rsid w:val="00187286"/>
    <w:rsid w:val="00187386"/>
    <w:rsid w:val="00187CF6"/>
    <w:rsid w:val="001900C5"/>
    <w:rsid w:val="0019090E"/>
    <w:rsid w:val="001928EC"/>
    <w:rsid w:val="001938E7"/>
    <w:rsid w:val="00197F7A"/>
    <w:rsid w:val="001A0887"/>
    <w:rsid w:val="001A1C9D"/>
    <w:rsid w:val="001A1F84"/>
    <w:rsid w:val="001A46E1"/>
    <w:rsid w:val="001A4AB2"/>
    <w:rsid w:val="001A5649"/>
    <w:rsid w:val="001A5D7D"/>
    <w:rsid w:val="001B11D8"/>
    <w:rsid w:val="001B1231"/>
    <w:rsid w:val="001B24B0"/>
    <w:rsid w:val="001B5244"/>
    <w:rsid w:val="001C08E9"/>
    <w:rsid w:val="001C1760"/>
    <w:rsid w:val="001C5651"/>
    <w:rsid w:val="001C57AE"/>
    <w:rsid w:val="001C594A"/>
    <w:rsid w:val="001C7C0E"/>
    <w:rsid w:val="001D09D1"/>
    <w:rsid w:val="001D1D2C"/>
    <w:rsid w:val="001D1D53"/>
    <w:rsid w:val="001D4B1D"/>
    <w:rsid w:val="001D51C2"/>
    <w:rsid w:val="001D7F1F"/>
    <w:rsid w:val="001E07B0"/>
    <w:rsid w:val="001E11C9"/>
    <w:rsid w:val="001E2403"/>
    <w:rsid w:val="001E3566"/>
    <w:rsid w:val="001E4DB6"/>
    <w:rsid w:val="001E6CE4"/>
    <w:rsid w:val="001E7EFA"/>
    <w:rsid w:val="001F1B5F"/>
    <w:rsid w:val="001F2DC0"/>
    <w:rsid w:val="001F5377"/>
    <w:rsid w:val="001F6A38"/>
    <w:rsid w:val="001F6B34"/>
    <w:rsid w:val="001F7715"/>
    <w:rsid w:val="001F7A7E"/>
    <w:rsid w:val="00201E3C"/>
    <w:rsid w:val="00204CC3"/>
    <w:rsid w:val="002050D6"/>
    <w:rsid w:val="00205546"/>
    <w:rsid w:val="002055EF"/>
    <w:rsid w:val="00205790"/>
    <w:rsid w:val="00211605"/>
    <w:rsid w:val="002127C0"/>
    <w:rsid w:val="00215EEC"/>
    <w:rsid w:val="0021613F"/>
    <w:rsid w:val="00217866"/>
    <w:rsid w:val="00222A5F"/>
    <w:rsid w:val="00222CAB"/>
    <w:rsid w:val="002242CE"/>
    <w:rsid w:val="00226110"/>
    <w:rsid w:val="0022705B"/>
    <w:rsid w:val="002331FB"/>
    <w:rsid w:val="002334E6"/>
    <w:rsid w:val="002359AC"/>
    <w:rsid w:val="0024323A"/>
    <w:rsid w:val="00244A0C"/>
    <w:rsid w:val="00246D4D"/>
    <w:rsid w:val="00247B03"/>
    <w:rsid w:val="00254DAD"/>
    <w:rsid w:val="00254E96"/>
    <w:rsid w:val="0025543B"/>
    <w:rsid w:val="0025621F"/>
    <w:rsid w:val="00257DFE"/>
    <w:rsid w:val="002647EE"/>
    <w:rsid w:val="00264D64"/>
    <w:rsid w:val="002650B0"/>
    <w:rsid w:val="00266C81"/>
    <w:rsid w:val="002706A3"/>
    <w:rsid w:val="00272335"/>
    <w:rsid w:val="002736BF"/>
    <w:rsid w:val="002747EA"/>
    <w:rsid w:val="00275D46"/>
    <w:rsid w:val="00277DDB"/>
    <w:rsid w:val="0028006B"/>
    <w:rsid w:val="00280D12"/>
    <w:rsid w:val="00281324"/>
    <w:rsid w:val="00286179"/>
    <w:rsid w:val="002861B3"/>
    <w:rsid w:val="0028755E"/>
    <w:rsid w:val="0028765A"/>
    <w:rsid w:val="00290336"/>
    <w:rsid w:val="0029206C"/>
    <w:rsid w:val="00294F18"/>
    <w:rsid w:val="0029526A"/>
    <w:rsid w:val="00295BFE"/>
    <w:rsid w:val="002A042B"/>
    <w:rsid w:val="002A5F71"/>
    <w:rsid w:val="002A649A"/>
    <w:rsid w:val="002B1CD4"/>
    <w:rsid w:val="002B3AAA"/>
    <w:rsid w:val="002B3B18"/>
    <w:rsid w:val="002B4964"/>
    <w:rsid w:val="002C076B"/>
    <w:rsid w:val="002C100C"/>
    <w:rsid w:val="002C2667"/>
    <w:rsid w:val="002C4B21"/>
    <w:rsid w:val="002C7E1D"/>
    <w:rsid w:val="002D1BCB"/>
    <w:rsid w:val="002D258E"/>
    <w:rsid w:val="002D3B68"/>
    <w:rsid w:val="002D42F6"/>
    <w:rsid w:val="002D6724"/>
    <w:rsid w:val="002E01D4"/>
    <w:rsid w:val="002E29F1"/>
    <w:rsid w:val="002E5170"/>
    <w:rsid w:val="002E5C46"/>
    <w:rsid w:val="002F1234"/>
    <w:rsid w:val="002F1607"/>
    <w:rsid w:val="002F1AE6"/>
    <w:rsid w:val="002F34B9"/>
    <w:rsid w:val="002F5296"/>
    <w:rsid w:val="002F5505"/>
    <w:rsid w:val="002F623F"/>
    <w:rsid w:val="002F6276"/>
    <w:rsid w:val="002F6B35"/>
    <w:rsid w:val="002F7C56"/>
    <w:rsid w:val="003008CD"/>
    <w:rsid w:val="003019E5"/>
    <w:rsid w:val="00301B40"/>
    <w:rsid w:val="00302D84"/>
    <w:rsid w:val="00302F36"/>
    <w:rsid w:val="00303551"/>
    <w:rsid w:val="003040D2"/>
    <w:rsid w:val="003042A2"/>
    <w:rsid w:val="00304B78"/>
    <w:rsid w:val="0031126E"/>
    <w:rsid w:val="00311395"/>
    <w:rsid w:val="0031178B"/>
    <w:rsid w:val="003147B2"/>
    <w:rsid w:val="003156C0"/>
    <w:rsid w:val="003158FE"/>
    <w:rsid w:val="00317B6E"/>
    <w:rsid w:val="00317F83"/>
    <w:rsid w:val="00320041"/>
    <w:rsid w:val="00322E7E"/>
    <w:rsid w:val="00323B21"/>
    <w:rsid w:val="00326D6F"/>
    <w:rsid w:val="003272AF"/>
    <w:rsid w:val="003273E2"/>
    <w:rsid w:val="003276F4"/>
    <w:rsid w:val="0033056F"/>
    <w:rsid w:val="00332CA1"/>
    <w:rsid w:val="00333BC1"/>
    <w:rsid w:val="003355C3"/>
    <w:rsid w:val="00340908"/>
    <w:rsid w:val="00343F08"/>
    <w:rsid w:val="003441E9"/>
    <w:rsid w:val="00344491"/>
    <w:rsid w:val="00346268"/>
    <w:rsid w:val="00346A87"/>
    <w:rsid w:val="00347A4E"/>
    <w:rsid w:val="00350E94"/>
    <w:rsid w:val="00350ED3"/>
    <w:rsid w:val="003515EA"/>
    <w:rsid w:val="00351F90"/>
    <w:rsid w:val="00353455"/>
    <w:rsid w:val="00353FF7"/>
    <w:rsid w:val="00356402"/>
    <w:rsid w:val="003620D2"/>
    <w:rsid w:val="00364C40"/>
    <w:rsid w:val="00365251"/>
    <w:rsid w:val="003658C6"/>
    <w:rsid w:val="003662DE"/>
    <w:rsid w:val="00366593"/>
    <w:rsid w:val="00373CED"/>
    <w:rsid w:val="003745B3"/>
    <w:rsid w:val="003763CA"/>
    <w:rsid w:val="003811F0"/>
    <w:rsid w:val="003814F4"/>
    <w:rsid w:val="00382C86"/>
    <w:rsid w:val="00384726"/>
    <w:rsid w:val="0038652C"/>
    <w:rsid w:val="00387A0E"/>
    <w:rsid w:val="003907E1"/>
    <w:rsid w:val="00391613"/>
    <w:rsid w:val="00392E98"/>
    <w:rsid w:val="00395C76"/>
    <w:rsid w:val="003A2230"/>
    <w:rsid w:val="003A359C"/>
    <w:rsid w:val="003A44CB"/>
    <w:rsid w:val="003A5118"/>
    <w:rsid w:val="003A5C7A"/>
    <w:rsid w:val="003A6F9E"/>
    <w:rsid w:val="003A78F9"/>
    <w:rsid w:val="003B023B"/>
    <w:rsid w:val="003B0D22"/>
    <w:rsid w:val="003B19E3"/>
    <w:rsid w:val="003B2A4C"/>
    <w:rsid w:val="003B2F7A"/>
    <w:rsid w:val="003B3733"/>
    <w:rsid w:val="003C2B07"/>
    <w:rsid w:val="003C3259"/>
    <w:rsid w:val="003C44C5"/>
    <w:rsid w:val="003C5628"/>
    <w:rsid w:val="003C5A97"/>
    <w:rsid w:val="003D09CD"/>
    <w:rsid w:val="003D1D07"/>
    <w:rsid w:val="003D2EAE"/>
    <w:rsid w:val="003D3E06"/>
    <w:rsid w:val="003D70A3"/>
    <w:rsid w:val="003E1518"/>
    <w:rsid w:val="003E1D51"/>
    <w:rsid w:val="003E2D40"/>
    <w:rsid w:val="003E3723"/>
    <w:rsid w:val="003E3A1F"/>
    <w:rsid w:val="003E4C66"/>
    <w:rsid w:val="003E56A0"/>
    <w:rsid w:val="003E5F80"/>
    <w:rsid w:val="003F116B"/>
    <w:rsid w:val="003F5C3A"/>
    <w:rsid w:val="00401654"/>
    <w:rsid w:val="00401708"/>
    <w:rsid w:val="0040446F"/>
    <w:rsid w:val="004053E0"/>
    <w:rsid w:val="00405C76"/>
    <w:rsid w:val="004077D6"/>
    <w:rsid w:val="00412E1D"/>
    <w:rsid w:val="00416A3E"/>
    <w:rsid w:val="00417106"/>
    <w:rsid w:val="0041758A"/>
    <w:rsid w:val="0042056C"/>
    <w:rsid w:val="00420D33"/>
    <w:rsid w:val="0042234D"/>
    <w:rsid w:val="00425428"/>
    <w:rsid w:val="0042598F"/>
    <w:rsid w:val="00426AD7"/>
    <w:rsid w:val="00426ADB"/>
    <w:rsid w:val="00427AC0"/>
    <w:rsid w:val="00427C34"/>
    <w:rsid w:val="004303D1"/>
    <w:rsid w:val="00430E5C"/>
    <w:rsid w:val="00433782"/>
    <w:rsid w:val="00435276"/>
    <w:rsid w:val="004355ED"/>
    <w:rsid w:val="00437B6B"/>
    <w:rsid w:val="00437F8E"/>
    <w:rsid w:val="004402B9"/>
    <w:rsid w:val="004409D2"/>
    <w:rsid w:val="00440AD7"/>
    <w:rsid w:val="00440C24"/>
    <w:rsid w:val="00441713"/>
    <w:rsid w:val="00444B3E"/>
    <w:rsid w:val="00447A01"/>
    <w:rsid w:val="0045029A"/>
    <w:rsid w:val="0045178E"/>
    <w:rsid w:val="00453502"/>
    <w:rsid w:val="0045449C"/>
    <w:rsid w:val="0045717B"/>
    <w:rsid w:val="004602AB"/>
    <w:rsid w:val="00460D02"/>
    <w:rsid w:val="00462662"/>
    <w:rsid w:val="00462AA8"/>
    <w:rsid w:val="00463498"/>
    <w:rsid w:val="00464E70"/>
    <w:rsid w:val="00465304"/>
    <w:rsid w:val="00465ACF"/>
    <w:rsid w:val="00466799"/>
    <w:rsid w:val="00470587"/>
    <w:rsid w:val="004740C4"/>
    <w:rsid w:val="00474524"/>
    <w:rsid w:val="00474ADB"/>
    <w:rsid w:val="00483798"/>
    <w:rsid w:val="004837A1"/>
    <w:rsid w:val="00483FB0"/>
    <w:rsid w:val="004850AA"/>
    <w:rsid w:val="00485B28"/>
    <w:rsid w:val="00486789"/>
    <w:rsid w:val="00493AE5"/>
    <w:rsid w:val="00494C71"/>
    <w:rsid w:val="00496567"/>
    <w:rsid w:val="0049698D"/>
    <w:rsid w:val="004A0D6D"/>
    <w:rsid w:val="004A1CFF"/>
    <w:rsid w:val="004A3DCE"/>
    <w:rsid w:val="004A643E"/>
    <w:rsid w:val="004A7236"/>
    <w:rsid w:val="004B0ED9"/>
    <w:rsid w:val="004B20E1"/>
    <w:rsid w:val="004B2974"/>
    <w:rsid w:val="004B2AEC"/>
    <w:rsid w:val="004C1EB2"/>
    <w:rsid w:val="004C4A42"/>
    <w:rsid w:val="004D31CA"/>
    <w:rsid w:val="004D434E"/>
    <w:rsid w:val="004D7081"/>
    <w:rsid w:val="004E0F24"/>
    <w:rsid w:val="004E189A"/>
    <w:rsid w:val="004E2D4B"/>
    <w:rsid w:val="004E4C05"/>
    <w:rsid w:val="004E4F47"/>
    <w:rsid w:val="004F0659"/>
    <w:rsid w:val="004F0E65"/>
    <w:rsid w:val="004F4445"/>
    <w:rsid w:val="004F52A9"/>
    <w:rsid w:val="004F590B"/>
    <w:rsid w:val="004F7159"/>
    <w:rsid w:val="004F7187"/>
    <w:rsid w:val="004F76D3"/>
    <w:rsid w:val="005010C6"/>
    <w:rsid w:val="00503ADB"/>
    <w:rsid w:val="005047D7"/>
    <w:rsid w:val="00504868"/>
    <w:rsid w:val="005075BE"/>
    <w:rsid w:val="00510503"/>
    <w:rsid w:val="005114DF"/>
    <w:rsid w:val="00512AE3"/>
    <w:rsid w:val="00516C5A"/>
    <w:rsid w:val="00521F78"/>
    <w:rsid w:val="005301A2"/>
    <w:rsid w:val="005320C0"/>
    <w:rsid w:val="00532CDD"/>
    <w:rsid w:val="005407A5"/>
    <w:rsid w:val="00543C48"/>
    <w:rsid w:val="005464D8"/>
    <w:rsid w:val="00546D31"/>
    <w:rsid w:val="00547EE2"/>
    <w:rsid w:val="005504DD"/>
    <w:rsid w:val="00550A8D"/>
    <w:rsid w:val="0055154B"/>
    <w:rsid w:val="00551DB0"/>
    <w:rsid w:val="00552349"/>
    <w:rsid w:val="00552AF3"/>
    <w:rsid w:val="005546AB"/>
    <w:rsid w:val="00554E1D"/>
    <w:rsid w:val="005552C1"/>
    <w:rsid w:val="0055679E"/>
    <w:rsid w:val="00556A9E"/>
    <w:rsid w:val="00556F80"/>
    <w:rsid w:val="00557823"/>
    <w:rsid w:val="00557E8E"/>
    <w:rsid w:val="00557F96"/>
    <w:rsid w:val="00557FDB"/>
    <w:rsid w:val="00561641"/>
    <w:rsid w:val="005617DB"/>
    <w:rsid w:val="00562E8C"/>
    <w:rsid w:val="00563589"/>
    <w:rsid w:val="00566AF8"/>
    <w:rsid w:val="00571161"/>
    <w:rsid w:val="00572362"/>
    <w:rsid w:val="00572555"/>
    <w:rsid w:val="00573554"/>
    <w:rsid w:val="00573701"/>
    <w:rsid w:val="00576114"/>
    <w:rsid w:val="00576116"/>
    <w:rsid w:val="0057625A"/>
    <w:rsid w:val="00576937"/>
    <w:rsid w:val="00581BCE"/>
    <w:rsid w:val="00583A24"/>
    <w:rsid w:val="0058623B"/>
    <w:rsid w:val="00590FF9"/>
    <w:rsid w:val="00591A23"/>
    <w:rsid w:val="0059454B"/>
    <w:rsid w:val="005945E6"/>
    <w:rsid w:val="005968FE"/>
    <w:rsid w:val="00596ABE"/>
    <w:rsid w:val="00596EDF"/>
    <w:rsid w:val="005A0294"/>
    <w:rsid w:val="005A0314"/>
    <w:rsid w:val="005A0C8E"/>
    <w:rsid w:val="005A0EE2"/>
    <w:rsid w:val="005A108E"/>
    <w:rsid w:val="005A1678"/>
    <w:rsid w:val="005A3317"/>
    <w:rsid w:val="005A4482"/>
    <w:rsid w:val="005A4CA7"/>
    <w:rsid w:val="005A4F7F"/>
    <w:rsid w:val="005A525B"/>
    <w:rsid w:val="005A6C1C"/>
    <w:rsid w:val="005A7AB9"/>
    <w:rsid w:val="005A7D97"/>
    <w:rsid w:val="005B005B"/>
    <w:rsid w:val="005B4F89"/>
    <w:rsid w:val="005B6079"/>
    <w:rsid w:val="005B625D"/>
    <w:rsid w:val="005C09B2"/>
    <w:rsid w:val="005C1891"/>
    <w:rsid w:val="005C2F42"/>
    <w:rsid w:val="005C3AC2"/>
    <w:rsid w:val="005C76E2"/>
    <w:rsid w:val="005D1EE0"/>
    <w:rsid w:val="005D3162"/>
    <w:rsid w:val="005D4F9E"/>
    <w:rsid w:val="005D79DE"/>
    <w:rsid w:val="005E35F7"/>
    <w:rsid w:val="005E3935"/>
    <w:rsid w:val="005E5A5D"/>
    <w:rsid w:val="005E7DFD"/>
    <w:rsid w:val="005E7E15"/>
    <w:rsid w:val="005F4851"/>
    <w:rsid w:val="005F5ECF"/>
    <w:rsid w:val="005F6A94"/>
    <w:rsid w:val="005F70A7"/>
    <w:rsid w:val="00601059"/>
    <w:rsid w:val="0060287F"/>
    <w:rsid w:val="00602DA0"/>
    <w:rsid w:val="00603D49"/>
    <w:rsid w:val="00604799"/>
    <w:rsid w:val="00606B19"/>
    <w:rsid w:val="00607D61"/>
    <w:rsid w:val="006124A1"/>
    <w:rsid w:val="00612E96"/>
    <w:rsid w:val="00613C18"/>
    <w:rsid w:val="0061756C"/>
    <w:rsid w:val="00621081"/>
    <w:rsid w:val="00621900"/>
    <w:rsid w:val="00621A12"/>
    <w:rsid w:val="00622386"/>
    <w:rsid w:val="006229F7"/>
    <w:rsid w:val="006231F6"/>
    <w:rsid w:val="00624B7C"/>
    <w:rsid w:val="006262B4"/>
    <w:rsid w:val="0062798E"/>
    <w:rsid w:val="00630D89"/>
    <w:rsid w:val="00630F7F"/>
    <w:rsid w:val="00631686"/>
    <w:rsid w:val="00631FE1"/>
    <w:rsid w:val="00632C5D"/>
    <w:rsid w:val="00633912"/>
    <w:rsid w:val="00634B0D"/>
    <w:rsid w:val="0064106D"/>
    <w:rsid w:val="0064226D"/>
    <w:rsid w:val="0064252F"/>
    <w:rsid w:val="006438E4"/>
    <w:rsid w:val="006534C8"/>
    <w:rsid w:val="006543E5"/>
    <w:rsid w:val="00657BFF"/>
    <w:rsid w:val="00661B29"/>
    <w:rsid w:val="00663063"/>
    <w:rsid w:val="00665551"/>
    <w:rsid w:val="00665F4B"/>
    <w:rsid w:val="00670B74"/>
    <w:rsid w:val="00670E03"/>
    <w:rsid w:val="00672414"/>
    <w:rsid w:val="00672FB3"/>
    <w:rsid w:val="0067378A"/>
    <w:rsid w:val="00676C54"/>
    <w:rsid w:val="006810C4"/>
    <w:rsid w:val="00681176"/>
    <w:rsid w:val="0068362D"/>
    <w:rsid w:val="00685B03"/>
    <w:rsid w:val="00690ECE"/>
    <w:rsid w:val="00691F8A"/>
    <w:rsid w:val="00694533"/>
    <w:rsid w:val="0069502B"/>
    <w:rsid w:val="006956D0"/>
    <w:rsid w:val="00695B36"/>
    <w:rsid w:val="0069642D"/>
    <w:rsid w:val="006A22FA"/>
    <w:rsid w:val="006A293F"/>
    <w:rsid w:val="006A3B36"/>
    <w:rsid w:val="006B32C7"/>
    <w:rsid w:val="006B3DCC"/>
    <w:rsid w:val="006B4261"/>
    <w:rsid w:val="006B454C"/>
    <w:rsid w:val="006B4806"/>
    <w:rsid w:val="006B4FC5"/>
    <w:rsid w:val="006B6A29"/>
    <w:rsid w:val="006B6DA2"/>
    <w:rsid w:val="006B6F8F"/>
    <w:rsid w:val="006C04A7"/>
    <w:rsid w:val="006C09A4"/>
    <w:rsid w:val="006C2417"/>
    <w:rsid w:val="006C46B4"/>
    <w:rsid w:val="006C6B5D"/>
    <w:rsid w:val="006C6C8B"/>
    <w:rsid w:val="006D0173"/>
    <w:rsid w:val="006D2A6E"/>
    <w:rsid w:val="006D5802"/>
    <w:rsid w:val="006E61C4"/>
    <w:rsid w:val="006E74EE"/>
    <w:rsid w:val="006F0347"/>
    <w:rsid w:val="006F1FB6"/>
    <w:rsid w:val="006F54D7"/>
    <w:rsid w:val="006F5CA0"/>
    <w:rsid w:val="006F6186"/>
    <w:rsid w:val="006F68CA"/>
    <w:rsid w:val="007021C2"/>
    <w:rsid w:val="007036D8"/>
    <w:rsid w:val="00703FC5"/>
    <w:rsid w:val="007049E0"/>
    <w:rsid w:val="00706F1E"/>
    <w:rsid w:val="0071075E"/>
    <w:rsid w:val="0071236C"/>
    <w:rsid w:val="0071474C"/>
    <w:rsid w:val="00714FDB"/>
    <w:rsid w:val="007157AC"/>
    <w:rsid w:val="00715E9C"/>
    <w:rsid w:val="0071696B"/>
    <w:rsid w:val="00716BDA"/>
    <w:rsid w:val="007202A9"/>
    <w:rsid w:val="00720E6A"/>
    <w:rsid w:val="0072171D"/>
    <w:rsid w:val="00721B78"/>
    <w:rsid w:val="00724E95"/>
    <w:rsid w:val="00725D7E"/>
    <w:rsid w:val="007261BA"/>
    <w:rsid w:val="00726B83"/>
    <w:rsid w:val="007270A2"/>
    <w:rsid w:val="00730ABE"/>
    <w:rsid w:val="00732D97"/>
    <w:rsid w:val="00733C12"/>
    <w:rsid w:val="00734969"/>
    <w:rsid w:val="00734A30"/>
    <w:rsid w:val="00735CC0"/>
    <w:rsid w:val="007373CD"/>
    <w:rsid w:val="00740432"/>
    <w:rsid w:val="00740E02"/>
    <w:rsid w:val="00741380"/>
    <w:rsid w:val="00743D9C"/>
    <w:rsid w:val="00743E65"/>
    <w:rsid w:val="00744145"/>
    <w:rsid w:val="00744F3F"/>
    <w:rsid w:val="007451F3"/>
    <w:rsid w:val="00745D6A"/>
    <w:rsid w:val="0075094C"/>
    <w:rsid w:val="00755B2B"/>
    <w:rsid w:val="00755DB7"/>
    <w:rsid w:val="00757D84"/>
    <w:rsid w:val="00757F50"/>
    <w:rsid w:val="00760201"/>
    <w:rsid w:val="00760D44"/>
    <w:rsid w:val="0076483F"/>
    <w:rsid w:val="00764AEC"/>
    <w:rsid w:val="00765AA2"/>
    <w:rsid w:val="007674FD"/>
    <w:rsid w:val="00770AC3"/>
    <w:rsid w:val="0077144A"/>
    <w:rsid w:val="0077303B"/>
    <w:rsid w:val="007763C5"/>
    <w:rsid w:val="00777AB8"/>
    <w:rsid w:val="00777DAE"/>
    <w:rsid w:val="00780D7A"/>
    <w:rsid w:val="007816E0"/>
    <w:rsid w:val="00782FDD"/>
    <w:rsid w:val="00790533"/>
    <w:rsid w:val="007918B0"/>
    <w:rsid w:val="00793489"/>
    <w:rsid w:val="00794D4B"/>
    <w:rsid w:val="00797A1B"/>
    <w:rsid w:val="007A0BFD"/>
    <w:rsid w:val="007A280A"/>
    <w:rsid w:val="007A57BD"/>
    <w:rsid w:val="007B514B"/>
    <w:rsid w:val="007B6CC7"/>
    <w:rsid w:val="007B7046"/>
    <w:rsid w:val="007C054B"/>
    <w:rsid w:val="007C0AA5"/>
    <w:rsid w:val="007C3AC7"/>
    <w:rsid w:val="007C6F08"/>
    <w:rsid w:val="007C72B5"/>
    <w:rsid w:val="007C7D42"/>
    <w:rsid w:val="007D26EE"/>
    <w:rsid w:val="007D62A3"/>
    <w:rsid w:val="007D655A"/>
    <w:rsid w:val="007E15B5"/>
    <w:rsid w:val="007E1A39"/>
    <w:rsid w:val="007E1E7C"/>
    <w:rsid w:val="007E39AF"/>
    <w:rsid w:val="007E45B0"/>
    <w:rsid w:val="007E4EEE"/>
    <w:rsid w:val="007E546F"/>
    <w:rsid w:val="007E65B9"/>
    <w:rsid w:val="007F1052"/>
    <w:rsid w:val="007F10FA"/>
    <w:rsid w:val="007F39ED"/>
    <w:rsid w:val="007F4B8D"/>
    <w:rsid w:val="0080057B"/>
    <w:rsid w:val="0080100D"/>
    <w:rsid w:val="00802645"/>
    <w:rsid w:val="00803218"/>
    <w:rsid w:val="0080359F"/>
    <w:rsid w:val="008035A1"/>
    <w:rsid w:val="00803B9D"/>
    <w:rsid w:val="00806886"/>
    <w:rsid w:val="00806A5E"/>
    <w:rsid w:val="0081157C"/>
    <w:rsid w:val="0081265D"/>
    <w:rsid w:val="00812A66"/>
    <w:rsid w:val="00814F0E"/>
    <w:rsid w:val="00815900"/>
    <w:rsid w:val="00823867"/>
    <w:rsid w:val="0082395B"/>
    <w:rsid w:val="00823D85"/>
    <w:rsid w:val="00825C8F"/>
    <w:rsid w:val="00826D24"/>
    <w:rsid w:val="00827FCC"/>
    <w:rsid w:val="008309F7"/>
    <w:rsid w:val="00834875"/>
    <w:rsid w:val="00834A5F"/>
    <w:rsid w:val="00840A1B"/>
    <w:rsid w:val="0084410D"/>
    <w:rsid w:val="00851225"/>
    <w:rsid w:val="008528AB"/>
    <w:rsid w:val="00853D6D"/>
    <w:rsid w:val="00860538"/>
    <w:rsid w:val="008607B4"/>
    <w:rsid w:val="0086694D"/>
    <w:rsid w:val="008673AC"/>
    <w:rsid w:val="008707D6"/>
    <w:rsid w:val="00870863"/>
    <w:rsid w:val="00870B72"/>
    <w:rsid w:val="008724E0"/>
    <w:rsid w:val="00875D5F"/>
    <w:rsid w:val="00882B8B"/>
    <w:rsid w:val="0088314C"/>
    <w:rsid w:val="00883683"/>
    <w:rsid w:val="00886B36"/>
    <w:rsid w:val="00886E1F"/>
    <w:rsid w:val="008921FB"/>
    <w:rsid w:val="00893963"/>
    <w:rsid w:val="00894719"/>
    <w:rsid w:val="008A04C8"/>
    <w:rsid w:val="008A1C68"/>
    <w:rsid w:val="008A20C4"/>
    <w:rsid w:val="008A24CA"/>
    <w:rsid w:val="008A5BA4"/>
    <w:rsid w:val="008A5F8F"/>
    <w:rsid w:val="008A78E5"/>
    <w:rsid w:val="008B09B4"/>
    <w:rsid w:val="008B2736"/>
    <w:rsid w:val="008B4724"/>
    <w:rsid w:val="008B6219"/>
    <w:rsid w:val="008B6D0C"/>
    <w:rsid w:val="008C0A04"/>
    <w:rsid w:val="008C0B1D"/>
    <w:rsid w:val="008C23BF"/>
    <w:rsid w:val="008C3185"/>
    <w:rsid w:val="008C58F0"/>
    <w:rsid w:val="008C7959"/>
    <w:rsid w:val="008D1D1C"/>
    <w:rsid w:val="008D481F"/>
    <w:rsid w:val="008D4D94"/>
    <w:rsid w:val="008D5148"/>
    <w:rsid w:val="008D6E6D"/>
    <w:rsid w:val="008E1D0E"/>
    <w:rsid w:val="008E2FB0"/>
    <w:rsid w:val="008E39CF"/>
    <w:rsid w:val="008E4038"/>
    <w:rsid w:val="008E5973"/>
    <w:rsid w:val="008E62C9"/>
    <w:rsid w:val="008E7AE5"/>
    <w:rsid w:val="008F0334"/>
    <w:rsid w:val="009012C4"/>
    <w:rsid w:val="00904513"/>
    <w:rsid w:val="009120B2"/>
    <w:rsid w:val="00912116"/>
    <w:rsid w:val="009138B4"/>
    <w:rsid w:val="00914D46"/>
    <w:rsid w:val="00916A82"/>
    <w:rsid w:val="00921AED"/>
    <w:rsid w:val="00921C64"/>
    <w:rsid w:val="00923AD3"/>
    <w:rsid w:val="009262E6"/>
    <w:rsid w:val="009275D3"/>
    <w:rsid w:val="00927AA2"/>
    <w:rsid w:val="00930385"/>
    <w:rsid w:val="009336B1"/>
    <w:rsid w:val="00934BCE"/>
    <w:rsid w:val="009359D8"/>
    <w:rsid w:val="0093751D"/>
    <w:rsid w:val="009427F9"/>
    <w:rsid w:val="00945D35"/>
    <w:rsid w:val="00950741"/>
    <w:rsid w:val="00950DD7"/>
    <w:rsid w:val="00951353"/>
    <w:rsid w:val="00951D59"/>
    <w:rsid w:val="009524A4"/>
    <w:rsid w:val="0095273B"/>
    <w:rsid w:val="00952791"/>
    <w:rsid w:val="00956A4D"/>
    <w:rsid w:val="00957A62"/>
    <w:rsid w:val="00960A3A"/>
    <w:rsid w:val="009642E9"/>
    <w:rsid w:val="0096798D"/>
    <w:rsid w:val="00973CB2"/>
    <w:rsid w:val="009756C7"/>
    <w:rsid w:val="0097639E"/>
    <w:rsid w:val="009809C5"/>
    <w:rsid w:val="00980B36"/>
    <w:rsid w:val="00981F2B"/>
    <w:rsid w:val="00984ECE"/>
    <w:rsid w:val="00985FBC"/>
    <w:rsid w:val="00986EB8"/>
    <w:rsid w:val="00987560"/>
    <w:rsid w:val="00990A0D"/>
    <w:rsid w:val="009916B5"/>
    <w:rsid w:val="009918B6"/>
    <w:rsid w:val="00995FBF"/>
    <w:rsid w:val="00996A84"/>
    <w:rsid w:val="00996DA4"/>
    <w:rsid w:val="00997724"/>
    <w:rsid w:val="009A07B5"/>
    <w:rsid w:val="009A1334"/>
    <w:rsid w:val="009A1524"/>
    <w:rsid w:val="009A181F"/>
    <w:rsid w:val="009A1F98"/>
    <w:rsid w:val="009A32D7"/>
    <w:rsid w:val="009A3CC9"/>
    <w:rsid w:val="009A447B"/>
    <w:rsid w:val="009B158C"/>
    <w:rsid w:val="009B2181"/>
    <w:rsid w:val="009B458E"/>
    <w:rsid w:val="009B58DB"/>
    <w:rsid w:val="009B5E77"/>
    <w:rsid w:val="009C1086"/>
    <w:rsid w:val="009C2333"/>
    <w:rsid w:val="009C2E10"/>
    <w:rsid w:val="009C30E0"/>
    <w:rsid w:val="009C389F"/>
    <w:rsid w:val="009C6446"/>
    <w:rsid w:val="009C6A2A"/>
    <w:rsid w:val="009C6E33"/>
    <w:rsid w:val="009D1308"/>
    <w:rsid w:val="009D18BC"/>
    <w:rsid w:val="009D2E33"/>
    <w:rsid w:val="009D3DE0"/>
    <w:rsid w:val="009D60D1"/>
    <w:rsid w:val="009D7AA8"/>
    <w:rsid w:val="009E45B1"/>
    <w:rsid w:val="009E50E8"/>
    <w:rsid w:val="009F05F8"/>
    <w:rsid w:val="009F156A"/>
    <w:rsid w:val="009F206E"/>
    <w:rsid w:val="009F4095"/>
    <w:rsid w:val="009F6474"/>
    <w:rsid w:val="009F771B"/>
    <w:rsid w:val="00A0032C"/>
    <w:rsid w:val="00A00E03"/>
    <w:rsid w:val="00A02D21"/>
    <w:rsid w:val="00A0512B"/>
    <w:rsid w:val="00A0674F"/>
    <w:rsid w:val="00A070DD"/>
    <w:rsid w:val="00A0729C"/>
    <w:rsid w:val="00A07433"/>
    <w:rsid w:val="00A10742"/>
    <w:rsid w:val="00A10ADD"/>
    <w:rsid w:val="00A11517"/>
    <w:rsid w:val="00A13D2D"/>
    <w:rsid w:val="00A1720D"/>
    <w:rsid w:val="00A22A1A"/>
    <w:rsid w:val="00A24764"/>
    <w:rsid w:val="00A27DFB"/>
    <w:rsid w:val="00A27EBB"/>
    <w:rsid w:val="00A30051"/>
    <w:rsid w:val="00A3299D"/>
    <w:rsid w:val="00A339B9"/>
    <w:rsid w:val="00A344DE"/>
    <w:rsid w:val="00A34AF9"/>
    <w:rsid w:val="00A353AA"/>
    <w:rsid w:val="00A377C7"/>
    <w:rsid w:val="00A53C93"/>
    <w:rsid w:val="00A53EFD"/>
    <w:rsid w:val="00A5431D"/>
    <w:rsid w:val="00A55547"/>
    <w:rsid w:val="00A55AF9"/>
    <w:rsid w:val="00A56021"/>
    <w:rsid w:val="00A61787"/>
    <w:rsid w:val="00A6402E"/>
    <w:rsid w:val="00A640FD"/>
    <w:rsid w:val="00A65452"/>
    <w:rsid w:val="00A6640E"/>
    <w:rsid w:val="00A709FD"/>
    <w:rsid w:val="00A715AE"/>
    <w:rsid w:val="00A75873"/>
    <w:rsid w:val="00A76AA8"/>
    <w:rsid w:val="00A76E6E"/>
    <w:rsid w:val="00A828C4"/>
    <w:rsid w:val="00A838BB"/>
    <w:rsid w:val="00A848AE"/>
    <w:rsid w:val="00A85EBB"/>
    <w:rsid w:val="00A91360"/>
    <w:rsid w:val="00A9156C"/>
    <w:rsid w:val="00A9196D"/>
    <w:rsid w:val="00A93BB9"/>
    <w:rsid w:val="00AA09C7"/>
    <w:rsid w:val="00AA143E"/>
    <w:rsid w:val="00AA1BB1"/>
    <w:rsid w:val="00AA1CDA"/>
    <w:rsid w:val="00AA421D"/>
    <w:rsid w:val="00AA59FA"/>
    <w:rsid w:val="00AA6407"/>
    <w:rsid w:val="00AA68EB"/>
    <w:rsid w:val="00AA7D6B"/>
    <w:rsid w:val="00AB1846"/>
    <w:rsid w:val="00AB1AE2"/>
    <w:rsid w:val="00AB6A03"/>
    <w:rsid w:val="00AB6C27"/>
    <w:rsid w:val="00AB755C"/>
    <w:rsid w:val="00AC04D2"/>
    <w:rsid w:val="00AC3F86"/>
    <w:rsid w:val="00AC4464"/>
    <w:rsid w:val="00AC5F76"/>
    <w:rsid w:val="00AC6C2B"/>
    <w:rsid w:val="00AC7F31"/>
    <w:rsid w:val="00AD0805"/>
    <w:rsid w:val="00AD29D5"/>
    <w:rsid w:val="00AD4A34"/>
    <w:rsid w:val="00AD4AA2"/>
    <w:rsid w:val="00AD6C74"/>
    <w:rsid w:val="00AD7386"/>
    <w:rsid w:val="00AD7B61"/>
    <w:rsid w:val="00AD7EC9"/>
    <w:rsid w:val="00AE00A8"/>
    <w:rsid w:val="00AE0DCC"/>
    <w:rsid w:val="00AE14AB"/>
    <w:rsid w:val="00AE2582"/>
    <w:rsid w:val="00AE2ECF"/>
    <w:rsid w:val="00AE6C86"/>
    <w:rsid w:val="00AE6F0F"/>
    <w:rsid w:val="00AF06F0"/>
    <w:rsid w:val="00AF207A"/>
    <w:rsid w:val="00AF3651"/>
    <w:rsid w:val="00AF5012"/>
    <w:rsid w:val="00AF51FE"/>
    <w:rsid w:val="00AF5684"/>
    <w:rsid w:val="00AF73A2"/>
    <w:rsid w:val="00AF7637"/>
    <w:rsid w:val="00B002DB"/>
    <w:rsid w:val="00B0094A"/>
    <w:rsid w:val="00B02125"/>
    <w:rsid w:val="00B03C62"/>
    <w:rsid w:val="00B058FE"/>
    <w:rsid w:val="00B05CD7"/>
    <w:rsid w:val="00B07D2D"/>
    <w:rsid w:val="00B10180"/>
    <w:rsid w:val="00B12A7C"/>
    <w:rsid w:val="00B15106"/>
    <w:rsid w:val="00B211BF"/>
    <w:rsid w:val="00B22085"/>
    <w:rsid w:val="00B22092"/>
    <w:rsid w:val="00B22D69"/>
    <w:rsid w:val="00B23B0C"/>
    <w:rsid w:val="00B2423C"/>
    <w:rsid w:val="00B25C16"/>
    <w:rsid w:val="00B266DA"/>
    <w:rsid w:val="00B32631"/>
    <w:rsid w:val="00B428EB"/>
    <w:rsid w:val="00B47DCC"/>
    <w:rsid w:val="00B51013"/>
    <w:rsid w:val="00B5295F"/>
    <w:rsid w:val="00B53206"/>
    <w:rsid w:val="00B53F4E"/>
    <w:rsid w:val="00B543F1"/>
    <w:rsid w:val="00B5496B"/>
    <w:rsid w:val="00B54ECA"/>
    <w:rsid w:val="00B55144"/>
    <w:rsid w:val="00B62333"/>
    <w:rsid w:val="00B631E5"/>
    <w:rsid w:val="00B63C96"/>
    <w:rsid w:val="00B64EC2"/>
    <w:rsid w:val="00B65EF8"/>
    <w:rsid w:val="00B6659B"/>
    <w:rsid w:val="00B66B6A"/>
    <w:rsid w:val="00B67FF6"/>
    <w:rsid w:val="00B70532"/>
    <w:rsid w:val="00B7114E"/>
    <w:rsid w:val="00B72B2C"/>
    <w:rsid w:val="00B73159"/>
    <w:rsid w:val="00B75426"/>
    <w:rsid w:val="00B778F3"/>
    <w:rsid w:val="00B86400"/>
    <w:rsid w:val="00B86A6C"/>
    <w:rsid w:val="00B90B1E"/>
    <w:rsid w:val="00B93EE2"/>
    <w:rsid w:val="00B953D8"/>
    <w:rsid w:val="00B9593C"/>
    <w:rsid w:val="00B966A6"/>
    <w:rsid w:val="00BA0B99"/>
    <w:rsid w:val="00BA174C"/>
    <w:rsid w:val="00BA1CAF"/>
    <w:rsid w:val="00BA20F2"/>
    <w:rsid w:val="00BA31AD"/>
    <w:rsid w:val="00BA39A4"/>
    <w:rsid w:val="00BA5BEE"/>
    <w:rsid w:val="00BA5E1D"/>
    <w:rsid w:val="00BB71CF"/>
    <w:rsid w:val="00BB7D94"/>
    <w:rsid w:val="00BC0535"/>
    <w:rsid w:val="00BC432E"/>
    <w:rsid w:val="00BC5BA6"/>
    <w:rsid w:val="00BC5C1C"/>
    <w:rsid w:val="00BC765E"/>
    <w:rsid w:val="00BD21BB"/>
    <w:rsid w:val="00BD4715"/>
    <w:rsid w:val="00BD6E8C"/>
    <w:rsid w:val="00BD7B2B"/>
    <w:rsid w:val="00BD7FA7"/>
    <w:rsid w:val="00BE2077"/>
    <w:rsid w:val="00BE4C8E"/>
    <w:rsid w:val="00BE586B"/>
    <w:rsid w:val="00BE6E57"/>
    <w:rsid w:val="00BE6EB7"/>
    <w:rsid w:val="00BE765B"/>
    <w:rsid w:val="00BF026B"/>
    <w:rsid w:val="00BF0572"/>
    <w:rsid w:val="00BF082A"/>
    <w:rsid w:val="00BF1560"/>
    <w:rsid w:val="00BF1588"/>
    <w:rsid w:val="00BF2AF5"/>
    <w:rsid w:val="00BF5B95"/>
    <w:rsid w:val="00C04F91"/>
    <w:rsid w:val="00C05BE4"/>
    <w:rsid w:val="00C071B2"/>
    <w:rsid w:val="00C11641"/>
    <w:rsid w:val="00C12A8B"/>
    <w:rsid w:val="00C14CC0"/>
    <w:rsid w:val="00C165CF"/>
    <w:rsid w:val="00C1679C"/>
    <w:rsid w:val="00C21305"/>
    <w:rsid w:val="00C21DDD"/>
    <w:rsid w:val="00C22582"/>
    <w:rsid w:val="00C22A3F"/>
    <w:rsid w:val="00C242AE"/>
    <w:rsid w:val="00C24AD9"/>
    <w:rsid w:val="00C26593"/>
    <w:rsid w:val="00C26B11"/>
    <w:rsid w:val="00C26CC6"/>
    <w:rsid w:val="00C26D37"/>
    <w:rsid w:val="00C30297"/>
    <w:rsid w:val="00C32402"/>
    <w:rsid w:val="00C3419F"/>
    <w:rsid w:val="00C343FF"/>
    <w:rsid w:val="00C36677"/>
    <w:rsid w:val="00C3705E"/>
    <w:rsid w:val="00C375EA"/>
    <w:rsid w:val="00C4098F"/>
    <w:rsid w:val="00C43772"/>
    <w:rsid w:val="00C44D33"/>
    <w:rsid w:val="00C51D15"/>
    <w:rsid w:val="00C52BDB"/>
    <w:rsid w:val="00C52DA2"/>
    <w:rsid w:val="00C54E1C"/>
    <w:rsid w:val="00C55349"/>
    <w:rsid w:val="00C55567"/>
    <w:rsid w:val="00C567E6"/>
    <w:rsid w:val="00C57D95"/>
    <w:rsid w:val="00C60351"/>
    <w:rsid w:val="00C60E41"/>
    <w:rsid w:val="00C657D6"/>
    <w:rsid w:val="00C66532"/>
    <w:rsid w:val="00C71A96"/>
    <w:rsid w:val="00C73619"/>
    <w:rsid w:val="00C742C5"/>
    <w:rsid w:val="00C744B0"/>
    <w:rsid w:val="00C74D7E"/>
    <w:rsid w:val="00C804D1"/>
    <w:rsid w:val="00C80E00"/>
    <w:rsid w:val="00C8279A"/>
    <w:rsid w:val="00C82F3D"/>
    <w:rsid w:val="00C84AD3"/>
    <w:rsid w:val="00C85146"/>
    <w:rsid w:val="00C853C4"/>
    <w:rsid w:val="00C8561A"/>
    <w:rsid w:val="00C85E00"/>
    <w:rsid w:val="00C85F16"/>
    <w:rsid w:val="00C86F1C"/>
    <w:rsid w:val="00C90050"/>
    <w:rsid w:val="00C9187A"/>
    <w:rsid w:val="00C93017"/>
    <w:rsid w:val="00C941F9"/>
    <w:rsid w:val="00C9432A"/>
    <w:rsid w:val="00C959F0"/>
    <w:rsid w:val="00C9777E"/>
    <w:rsid w:val="00C979F0"/>
    <w:rsid w:val="00CA034B"/>
    <w:rsid w:val="00CA2638"/>
    <w:rsid w:val="00CA69A3"/>
    <w:rsid w:val="00CB0CDE"/>
    <w:rsid w:val="00CB2184"/>
    <w:rsid w:val="00CB3219"/>
    <w:rsid w:val="00CB3F5F"/>
    <w:rsid w:val="00CB3FFA"/>
    <w:rsid w:val="00CB6067"/>
    <w:rsid w:val="00CB626A"/>
    <w:rsid w:val="00CB75E5"/>
    <w:rsid w:val="00CC4F17"/>
    <w:rsid w:val="00CC5885"/>
    <w:rsid w:val="00CC7211"/>
    <w:rsid w:val="00CC771B"/>
    <w:rsid w:val="00CD1548"/>
    <w:rsid w:val="00CD2135"/>
    <w:rsid w:val="00CD2DD7"/>
    <w:rsid w:val="00CD308A"/>
    <w:rsid w:val="00CD4218"/>
    <w:rsid w:val="00CD4E9C"/>
    <w:rsid w:val="00CD530D"/>
    <w:rsid w:val="00CD6C78"/>
    <w:rsid w:val="00CE1811"/>
    <w:rsid w:val="00CE1C4B"/>
    <w:rsid w:val="00CE2489"/>
    <w:rsid w:val="00CE3647"/>
    <w:rsid w:val="00CE3866"/>
    <w:rsid w:val="00CE4C3C"/>
    <w:rsid w:val="00CE4C55"/>
    <w:rsid w:val="00CE65A4"/>
    <w:rsid w:val="00CE6CBF"/>
    <w:rsid w:val="00CE7EFD"/>
    <w:rsid w:val="00CF3958"/>
    <w:rsid w:val="00CF4A2A"/>
    <w:rsid w:val="00CF4EEC"/>
    <w:rsid w:val="00CF5C8E"/>
    <w:rsid w:val="00CF72FB"/>
    <w:rsid w:val="00CF7C7C"/>
    <w:rsid w:val="00D01ADA"/>
    <w:rsid w:val="00D02BFC"/>
    <w:rsid w:val="00D03E44"/>
    <w:rsid w:val="00D05482"/>
    <w:rsid w:val="00D06A37"/>
    <w:rsid w:val="00D10C3D"/>
    <w:rsid w:val="00D10E15"/>
    <w:rsid w:val="00D11274"/>
    <w:rsid w:val="00D13667"/>
    <w:rsid w:val="00D14784"/>
    <w:rsid w:val="00D21E2E"/>
    <w:rsid w:val="00D243D6"/>
    <w:rsid w:val="00D24599"/>
    <w:rsid w:val="00D25BB5"/>
    <w:rsid w:val="00D30738"/>
    <w:rsid w:val="00D32CEF"/>
    <w:rsid w:val="00D33775"/>
    <w:rsid w:val="00D33E7C"/>
    <w:rsid w:val="00D342CD"/>
    <w:rsid w:val="00D35860"/>
    <w:rsid w:val="00D36507"/>
    <w:rsid w:val="00D37162"/>
    <w:rsid w:val="00D37F66"/>
    <w:rsid w:val="00D40B67"/>
    <w:rsid w:val="00D40DDE"/>
    <w:rsid w:val="00D451A1"/>
    <w:rsid w:val="00D46C5E"/>
    <w:rsid w:val="00D46E0B"/>
    <w:rsid w:val="00D47D98"/>
    <w:rsid w:val="00D50EB5"/>
    <w:rsid w:val="00D51147"/>
    <w:rsid w:val="00D57D1F"/>
    <w:rsid w:val="00D63D3B"/>
    <w:rsid w:val="00D6442D"/>
    <w:rsid w:val="00D6631A"/>
    <w:rsid w:val="00D676AF"/>
    <w:rsid w:val="00D7270E"/>
    <w:rsid w:val="00D72890"/>
    <w:rsid w:val="00D73CB5"/>
    <w:rsid w:val="00D748B6"/>
    <w:rsid w:val="00D76731"/>
    <w:rsid w:val="00D77154"/>
    <w:rsid w:val="00D776B1"/>
    <w:rsid w:val="00D809D5"/>
    <w:rsid w:val="00D83FBD"/>
    <w:rsid w:val="00D853E1"/>
    <w:rsid w:val="00D86E7F"/>
    <w:rsid w:val="00D87D30"/>
    <w:rsid w:val="00D90277"/>
    <w:rsid w:val="00D90912"/>
    <w:rsid w:val="00D9144C"/>
    <w:rsid w:val="00D91A45"/>
    <w:rsid w:val="00D9294D"/>
    <w:rsid w:val="00D93A48"/>
    <w:rsid w:val="00D948A4"/>
    <w:rsid w:val="00D94EF9"/>
    <w:rsid w:val="00D95A7A"/>
    <w:rsid w:val="00D960D8"/>
    <w:rsid w:val="00D97126"/>
    <w:rsid w:val="00D97302"/>
    <w:rsid w:val="00DA2AC4"/>
    <w:rsid w:val="00DA3FE0"/>
    <w:rsid w:val="00DA51F5"/>
    <w:rsid w:val="00DA660D"/>
    <w:rsid w:val="00DA6623"/>
    <w:rsid w:val="00DA677C"/>
    <w:rsid w:val="00DA7BE8"/>
    <w:rsid w:val="00DA7D75"/>
    <w:rsid w:val="00DB071C"/>
    <w:rsid w:val="00DB1AB3"/>
    <w:rsid w:val="00DB1DC3"/>
    <w:rsid w:val="00DB2825"/>
    <w:rsid w:val="00DB4806"/>
    <w:rsid w:val="00DB50B4"/>
    <w:rsid w:val="00DC009E"/>
    <w:rsid w:val="00DC042A"/>
    <w:rsid w:val="00DC0816"/>
    <w:rsid w:val="00DC08DC"/>
    <w:rsid w:val="00DC465F"/>
    <w:rsid w:val="00DC4E6D"/>
    <w:rsid w:val="00DC7932"/>
    <w:rsid w:val="00DC7970"/>
    <w:rsid w:val="00DD1154"/>
    <w:rsid w:val="00DD1899"/>
    <w:rsid w:val="00DD1A31"/>
    <w:rsid w:val="00DD1EFF"/>
    <w:rsid w:val="00DD4FDF"/>
    <w:rsid w:val="00DE2589"/>
    <w:rsid w:val="00DE4280"/>
    <w:rsid w:val="00DE49C2"/>
    <w:rsid w:val="00DE7226"/>
    <w:rsid w:val="00DF1F12"/>
    <w:rsid w:val="00DF2EA1"/>
    <w:rsid w:val="00DF3FD1"/>
    <w:rsid w:val="00DF4A1D"/>
    <w:rsid w:val="00DF4E97"/>
    <w:rsid w:val="00DF6674"/>
    <w:rsid w:val="00E0012E"/>
    <w:rsid w:val="00E0174D"/>
    <w:rsid w:val="00E01927"/>
    <w:rsid w:val="00E030DF"/>
    <w:rsid w:val="00E032EF"/>
    <w:rsid w:val="00E03319"/>
    <w:rsid w:val="00E03BCD"/>
    <w:rsid w:val="00E04260"/>
    <w:rsid w:val="00E06704"/>
    <w:rsid w:val="00E06BB2"/>
    <w:rsid w:val="00E07F28"/>
    <w:rsid w:val="00E1205B"/>
    <w:rsid w:val="00E127EA"/>
    <w:rsid w:val="00E1281B"/>
    <w:rsid w:val="00E1395C"/>
    <w:rsid w:val="00E16E86"/>
    <w:rsid w:val="00E170E9"/>
    <w:rsid w:val="00E17A38"/>
    <w:rsid w:val="00E21315"/>
    <w:rsid w:val="00E229B3"/>
    <w:rsid w:val="00E23777"/>
    <w:rsid w:val="00E24A18"/>
    <w:rsid w:val="00E24C6C"/>
    <w:rsid w:val="00E25017"/>
    <w:rsid w:val="00E26726"/>
    <w:rsid w:val="00E36997"/>
    <w:rsid w:val="00E3707B"/>
    <w:rsid w:val="00E37099"/>
    <w:rsid w:val="00E370EE"/>
    <w:rsid w:val="00E400FE"/>
    <w:rsid w:val="00E413FF"/>
    <w:rsid w:val="00E432E6"/>
    <w:rsid w:val="00E4352F"/>
    <w:rsid w:val="00E439B3"/>
    <w:rsid w:val="00E445F6"/>
    <w:rsid w:val="00E4579A"/>
    <w:rsid w:val="00E45A6C"/>
    <w:rsid w:val="00E4675A"/>
    <w:rsid w:val="00E5055E"/>
    <w:rsid w:val="00E50834"/>
    <w:rsid w:val="00E51351"/>
    <w:rsid w:val="00E5144C"/>
    <w:rsid w:val="00E531DC"/>
    <w:rsid w:val="00E54098"/>
    <w:rsid w:val="00E54B2A"/>
    <w:rsid w:val="00E55288"/>
    <w:rsid w:val="00E60EB1"/>
    <w:rsid w:val="00E621FD"/>
    <w:rsid w:val="00E62692"/>
    <w:rsid w:val="00E62D8F"/>
    <w:rsid w:val="00E635A6"/>
    <w:rsid w:val="00E645ED"/>
    <w:rsid w:val="00E6519B"/>
    <w:rsid w:val="00E651BD"/>
    <w:rsid w:val="00E6755E"/>
    <w:rsid w:val="00E714A1"/>
    <w:rsid w:val="00E73565"/>
    <w:rsid w:val="00E7546D"/>
    <w:rsid w:val="00E76FD8"/>
    <w:rsid w:val="00E8089D"/>
    <w:rsid w:val="00E83C7E"/>
    <w:rsid w:val="00E84A0E"/>
    <w:rsid w:val="00E85B89"/>
    <w:rsid w:val="00E85DD1"/>
    <w:rsid w:val="00E9198C"/>
    <w:rsid w:val="00E93566"/>
    <w:rsid w:val="00E95A55"/>
    <w:rsid w:val="00E9771B"/>
    <w:rsid w:val="00EA16BC"/>
    <w:rsid w:val="00EA1D8D"/>
    <w:rsid w:val="00EA73C5"/>
    <w:rsid w:val="00EA7E4E"/>
    <w:rsid w:val="00EB19CB"/>
    <w:rsid w:val="00EB2971"/>
    <w:rsid w:val="00EB3D0D"/>
    <w:rsid w:val="00EB4CF5"/>
    <w:rsid w:val="00EB5570"/>
    <w:rsid w:val="00EB6DEB"/>
    <w:rsid w:val="00EC046C"/>
    <w:rsid w:val="00EC04EC"/>
    <w:rsid w:val="00EC1AE2"/>
    <w:rsid w:val="00EC24AF"/>
    <w:rsid w:val="00EC2B4E"/>
    <w:rsid w:val="00EC2F2E"/>
    <w:rsid w:val="00EC330E"/>
    <w:rsid w:val="00EC5A0D"/>
    <w:rsid w:val="00EC6A15"/>
    <w:rsid w:val="00EC7638"/>
    <w:rsid w:val="00ED11C9"/>
    <w:rsid w:val="00ED125C"/>
    <w:rsid w:val="00ED3450"/>
    <w:rsid w:val="00ED3554"/>
    <w:rsid w:val="00ED6251"/>
    <w:rsid w:val="00ED66AA"/>
    <w:rsid w:val="00ED7D4B"/>
    <w:rsid w:val="00EE0B64"/>
    <w:rsid w:val="00EE3BA2"/>
    <w:rsid w:val="00EE6B04"/>
    <w:rsid w:val="00EF326D"/>
    <w:rsid w:val="00EF34DB"/>
    <w:rsid w:val="00EF36FA"/>
    <w:rsid w:val="00F03916"/>
    <w:rsid w:val="00F04175"/>
    <w:rsid w:val="00F05501"/>
    <w:rsid w:val="00F05BCB"/>
    <w:rsid w:val="00F05EA1"/>
    <w:rsid w:val="00F05FC0"/>
    <w:rsid w:val="00F063B1"/>
    <w:rsid w:val="00F07E55"/>
    <w:rsid w:val="00F1291B"/>
    <w:rsid w:val="00F129B0"/>
    <w:rsid w:val="00F13948"/>
    <w:rsid w:val="00F13BAC"/>
    <w:rsid w:val="00F16092"/>
    <w:rsid w:val="00F201CA"/>
    <w:rsid w:val="00F206D0"/>
    <w:rsid w:val="00F2340D"/>
    <w:rsid w:val="00F30A3F"/>
    <w:rsid w:val="00F315FF"/>
    <w:rsid w:val="00F32C7A"/>
    <w:rsid w:val="00F40C71"/>
    <w:rsid w:val="00F41669"/>
    <w:rsid w:val="00F427FF"/>
    <w:rsid w:val="00F45666"/>
    <w:rsid w:val="00F46123"/>
    <w:rsid w:val="00F50FB4"/>
    <w:rsid w:val="00F5319A"/>
    <w:rsid w:val="00F55C4B"/>
    <w:rsid w:val="00F61886"/>
    <w:rsid w:val="00F63812"/>
    <w:rsid w:val="00F63A18"/>
    <w:rsid w:val="00F63A63"/>
    <w:rsid w:val="00F641A3"/>
    <w:rsid w:val="00F664BA"/>
    <w:rsid w:val="00F70C63"/>
    <w:rsid w:val="00F71215"/>
    <w:rsid w:val="00F73A73"/>
    <w:rsid w:val="00F74544"/>
    <w:rsid w:val="00F76088"/>
    <w:rsid w:val="00F776F2"/>
    <w:rsid w:val="00F77D45"/>
    <w:rsid w:val="00F80422"/>
    <w:rsid w:val="00F80610"/>
    <w:rsid w:val="00F8249C"/>
    <w:rsid w:val="00F83099"/>
    <w:rsid w:val="00F86B62"/>
    <w:rsid w:val="00F92567"/>
    <w:rsid w:val="00F925FA"/>
    <w:rsid w:val="00F93A47"/>
    <w:rsid w:val="00F93DD5"/>
    <w:rsid w:val="00F94C47"/>
    <w:rsid w:val="00F95FA0"/>
    <w:rsid w:val="00FA0C39"/>
    <w:rsid w:val="00FA2FA8"/>
    <w:rsid w:val="00FA3CBB"/>
    <w:rsid w:val="00FA5D04"/>
    <w:rsid w:val="00FA5EF4"/>
    <w:rsid w:val="00FA643F"/>
    <w:rsid w:val="00FA6599"/>
    <w:rsid w:val="00FA6866"/>
    <w:rsid w:val="00FB120A"/>
    <w:rsid w:val="00FB1940"/>
    <w:rsid w:val="00FB5B17"/>
    <w:rsid w:val="00FB6AE0"/>
    <w:rsid w:val="00FC0AEC"/>
    <w:rsid w:val="00FC1B98"/>
    <w:rsid w:val="00FC36B7"/>
    <w:rsid w:val="00FC539F"/>
    <w:rsid w:val="00FC5A13"/>
    <w:rsid w:val="00FC5E5B"/>
    <w:rsid w:val="00FC6EAA"/>
    <w:rsid w:val="00FC7E30"/>
    <w:rsid w:val="00FD0686"/>
    <w:rsid w:val="00FD151D"/>
    <w:rsid w:val="00FD15D8"/>
    <w:rsid w:val="00FD17F8"/>
    <w:rsid w:val="00FD375A"/>
    <w:rsid w:val="00FD4394"/>
    <w:rsid w:val="00FD6E10"/>
    <w:rsid w:val="00FE0AF9"/>
    <w:rsid w:val="00FE1101"/>
    <w:rsid w:val="00FE46A5"/>
    <w:rsid w:val="00FE633F"/>
    <w:rsid w:val="00FE6895"/>
    <w:rsid w:val="00FF0E7C"/>
    <w:rsid w:val="00FF18B9"/>
    <w:rsid w:val="00FF27A7"/>
    <w:rsid w:val="00FF3000"/>
    <w:rsid w:val="00FF4BE3"/>
    <w:rsid w:val="00FF574C"/>
    <w:rsid w:val="00FF6E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1363C"/>
  <w15:docId w15:val="{081A6798-4A64-4C97-9100-9C140D85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2A9"/>
    <w:pPr>
      <w:jc w:val="both"/>
    </w:pPr>
  </w:style>
  <w:style w:type="paragraph" w:styleId="Heading1">
    <w:name w:val="heading 1"/>
    <w:basedOn w:val="Normal"/>
    <w:next w:val="Normal"/>
    <w:link w:val="Heading1Char"/>
    <w:autoRedefine/>
    <w:uiPriority w:val="9"/>
    <w:qFormat/>
    <w:rsid w:val="00C30297"/>
    <w:pPr>
      <w:keepNext/>
      <w:keepLines/>
      <w:numPr>
        <w:numId w:val="1"/>
      </w:numPr>
      <w:pBdr>
        <w:bottom w:val="single" w:sz="4" w:space="1" w:color="auto"/>
      </w:pBdr>
      <w:spacing w:before="480" w:after="0"/>
      <w:ind w:left="567" w:hanging="567"/>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DC08DC"/>
    <w:pPr>
      <w:keepNext/>
      <w:keepLines/>
      <w:numPr>
        <w:ilvl w:val="1"/>
        <w:numId w:val="2"/>
      </w:num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semiHidden/>
    <w:unhideWhenUsed/>
    <w:qFormat/>
    <w:rsid w:val="002F7C56"/>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1A1C9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1A1C9D"/>
    <w:rPr>
      <w:rFonts w:ascii="Consolas" w:hAnsi="Consolas" w:cs="Consolas"/>
      <w:sz w:val="21"/>
      <w:szCs w:val="21"/>
    </w:rPr>
  </w:style>
  <w:style w:type="paragraph" w:styleId="ListParagraph">
    <w:name w:val="List Paragraph"/>
    <w:aliases w:val="REPORT Bullet"/>
    <w:basedOn w:val="Normal"/>
    <w:uiPriority w:val="34"/>
    <w:qFormat/>
    <w:rsid w:val="001A1C9D"/>
    <w:pPr>
      <w:ind w:left="720"/>
      <w:contextualSpacing/>
    </w:pPr>
  </w:style>
  <w:style w:type="paragraph" w:customStyle="1" w:styleId="Normal1">
    <w:name w:val="Normal1"/>
    <w:basedOn w:val="Normal"/>
    <w:rsid w:val="00576116"/>
    <w:pPr>
      <w:spacing w:before="120" w:after="0" w:line="240" w:lineRule="auto"/>
    </w:pPr>
    <w:rPr>
      <w:rFonts w:eastAsia="Times New Roman"/>
      <w:lang w:eastAsia="hr-HR"/>
    </w:rPr>
  </w:style>
  <w:style w:type="paragraph" w:customStyle="1" w:styleId="tbl-txt">
    <w:name w:val="tbl-txt"/>
    <w:basedOn w:val="Normal"/>
    <w:rsid w:val="00576116"/>
    <w:pPr>
      <w:spacing w:before="60" w:after="60" w:line="240" w:lineRule="auto"/>
    </w:pPr>
    <w:rPr>
      <w:rFonts w:eastAsia="Times New Roman"/>
      <w:sz w:val="22"/>
      <w:szCs w:val="22"/>
      <w:lang w:eastAsia="hr-HR"/>
    </w:rPr>
  </w:style>
  <w:style w:type="paragraph" w:customStyle="1" w:styleId="ti-tbl">
    <w:name w:val="ti-tbl"/>
    <w:basedOn w:val="Normal"/>
    <w:rsid w:val="00576116"/>
    <w:pPr>
      <w:spacing w:before="120" w:after="120" w:line="240" w:lineRule="auto"/>
      <w:jc w:val="center"/>
    </w:pPr>
    <w:rPr>
      <w:rFonts w:eastAsia="Times New Roman"/>
      <w:lang w:eastAsia="hr-HR"/>
    </w:rPr>
  </w:style>
  <w:style w:type="character" w:customStyle="1" w:styleId="bold">
    <w:name w:val="bold"/>
    <w:basedOn w:val="DefaultParagraphFont"/>
    <w:rsid w:val="00576116"/>
    <w:rPr>
      <w:b/>
      <w:bCs/>
    </w:rPr>
  </w:style>
  <w:style w:type="character" w:customStyle="1" w:styleId="italic">
    <w:name w:val="italic"/>
    <w:basedOn w:val="DefaultParagraphFont"/>
    <w:rsid w:val="00576116"/>
    <w:rPr>
      <w:i/>
      <w:iCs/>
    </w:rPr>
  </w:style>
  <w:style w:type="character" w:customStyle="1" w:styleId="super">
    <w:name w:val="super"/>
    <w:basedOn w:val="DefaultParagraphFont"/>
    <w:rsid w:val="00576116"/>
    <w:rPr>
      <w:sz w:val="17"/>
      <w:szCs w:val="17"/>
      <w:vertAlign w:val="superscript"/>
    </w:rPr>
  </w:style>
  <w:style w:type="character" w:styleId="Hyperlink">
    <w:name w:val="Hyperlink"/>
    <w:basedOn w:val="DefaultParagraphFont"/>
    <w:uiPriority w:val="99"/>
    <w:unhideWhenUsed/>
    <w:rsid w:val="00576116"/>
    <w:rPr>
      <w:color w:val="0000FF"/>
      <w:u w:val="single"/>
    </w:rPr>
  </w:style>
  <w:style w:type="character" w:customStyle="1" w:styleId="Heading1Char">
    <w:name w:val="Heading 1 Char"/>
    <w:basedOn w:val="DefaultParagraphFont"/>
    <w:link w:val="Heading1"/>
    <w:uiPriority w:val="9"/>
    <w:rsid w:val="00C30297"/>
    <w:rPr>
      <w:rFonts w:eastAsiaTheme="majorEastAsia"/>
      <w:b/>
      <w:bCs/>
      <w:sz w:val="28"/>
      <w:szCs w:val="28"/>
    </w:rPr>
  </w:style>
  <w:style w:type="paragraph" w:styleId="TOCHeading">
    <w:name w:val="TOC Heading"/>
    <w:basedOn w:val="Heading1"/>
    <w:next w:val="Normal"/>
    <w:uiPriority w:val="39"/>
    <w:unhideWhenUsed/>
    <w:qFormat/>
    <w:rsid w:val="00B15106"/>
    <w:pPr>
      <w:outlineLvl w:val="9"/>
    </w:pPr>
    <w:rPr>
      <w:lang w:eastAsia="hr-HR"/>
    </w:rPr>
  </w:style>
  <w:style w:type="paragraph" w:styleId="BalloonText">
    <w:name w:val="Balloon Text"/>
    <w:basedOn w:val="Normal"/>
    <w:link w:val="BalloonTextChar"/>
    <w:uiPriority w:val="99"/>
    <w:semiHidden/>
    <w:unhideWhenUsed/>
    <w:rsid w:val="00B15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06"/>
    <w:rPr>
      <w:rFonts w:ascii="Tahoma" w:hAnsi="Tahoma" w:cs="Tahoma"/>
      <w:sz w:val="16"/>
      <w:szCs w:val="16"/>
    </w:rPr>
  </w:style>
  <w:style w:type="paragraph" w:styleId="Title">
    <w:name w:val="Title"/>
    <w:basedOn w:val="Normal"/>
    <w:next w:val="Normal"/>
    <w:link w:val="TitleChar"/>
    <w:uiPriority w:val="10"/>
    <w:qFormat/>
    <w:rsid w:val="00E85DD1"/>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85DD1"/>
    <w:rPr>
      <w:rFonts w:asciiTheme="majorHAnsi" w:eastAsiaTheme="majorEastAsia" w:hAnsiTheme="majorHAnsi" w:cstheme="majorBidi"/>
      <w:spacing w:val="5"/>
      <w:kern w:val="28"/>
      <w:sz w:val="52"/>
      <w:szCs w:val="52"/>
    </w:rPr>
  </w:style>
  <w:style w:type="paragraph" w:styleId="TOC1">
    <w:name w:val="toc 1"/>
    <w:basedOn w:val="Normal"/>
    <w:next w:val="Normal"/>
    <w:autoRedefine/>
    <w:uiPriority w:val="39"/>
    <w:unhideWhenUsed/>
    <w:qFormat/>
    <w:rsid w:val="004F52A9"/>
    <w:pPr>
      <w:spacing w:after="100"/>
    </w:pPr>
  </w:style>
  <w:style w:type="paragraph" w:styleId="TOC2">
    <w:name w:val="toc 2"/>
    <w:basedOn w:val="Normal"/>
    <w:next w:val="Normal"/>
    <w:autoRedefine/>
    <w:uiPriority w:val="39"/>
    <w:unhideWhenUsed/>
    <w:qFormat/>
    <w:rsid w:val="004F52A9"/>
    <w:pPr>
      <w:spacing w:after="100"/>
      <w:ind w:left="220"/>
      <w:jc w:val="left"/>
    </w:pPr>
    <w:rPr>
      <w:rFonts w:asciiTheme="minorHAnsi" w:eastAsiaTheme="minorEastAsia" w:hAnsiTheme="minorHAnsi" w:cstheme="minorBidi"/>
      <w:sz w:val="22"/>
      <w:szCs w:val="22"/>
      <w:lang w:eastAsia="hr-HR"/>
    </w:rPr>
  </w:style>
  <w:style w:type="paragraph" w:styleId="TOC3">
    <w:name w:val="toc 3"/>
    <w:basedOn w:val="Normal"/>
    <w:next w:val="Normal"/>
    <w:autoRedefine/>
    <w:uiPriority w:val="39"/>
    <w:semiHidden/>
    <w:unhideWhenUsed/>
    <w:qFormat/>
    <w:rsid w:val="004F52A9"/>
    <w:pPr>
      <w:spacing w:after="100"/>
      <w:ind w:left="440"/>
      <w:jc w:val="left"/>
    </w:pPr>
    <w:rPr>
      <w:rFonts w:asciiTheme="minorHAnsi" w:eastAsiaTheme="minorEastAsia" w:hAnsiTheme="minorHAnsi" w:cstheme="minorBidi"/>
      <w:sz w:val="22"/>
      <w:szCs w:val="22"/>
      <w:lang w:eastAsia="hr-HR"/>
    </w:rPr>
  </w:style>
  <w:style w:type="character" w:customStyle="1" w:styleId="Heading2Char">
    <w:name w:val="Heading 2 Char"/>
    <w:basedOn w:val="DefaultParagraphFont"/>
    <w:link w:val="Heading2"/>
    <w:uiPriority w:val="9"/>
    <w:rsid w:val="00DC08DC"/>
    <w:rPr>
      <w:rFonts w:asciiTheme="majorHAnsi" w:eastAsiaTheme="majorEastAsia" w:hAnsiTheme="majorHAnsi" w:cstheme="majorBidi"/>
      <w:b/>
      <w:bCs/>
      <w:sz w:val="32"/>
      <w:szCs w:val="26"/>
    </w:rPr>
  </w:style>
  <w:style w:type="paragraph" w:styleId="Caption">
    <w:name w:val="caption"/>
    <w:basedOn w:val="Normal"/>
    <w:next w:val="Normal"/>
    <w:link w:val="CaptionChar"/>
    <w:unhideWhenUsed/>
    <w:qFormat/>
    <w:rsid w:val="00554E1D"/>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D11274"/>
    <w:rPr>
      <w:sz w:val="16"/>
      <w:szCs w:val="16"/>
    </w:rPr>
  </w:style>
  <w:style w:type="paragraph" w:styleId="CommentText">
    <w:name w:val="annotation text"/>
    <w:basedOn w:val="Normal"/>
    <w:link w:val="CommentTextChar"/>
    <w:uiPriority w:val="99"/>
    <w:unhideWhenUsed/>
    <w:rsid w:val="00D11274"/>
    <w:pPr>
      <w:spacing w:line="240" w:lineRule="auto"/>
    </w:pPr>
    <w:rPr>
      <w:sz w:val="20"/>
      <w:szCs w:val="20"/>
    </w:rPr>
  </w:style>
  <w:style w:type="character" w:customStyle="1" w:styleId="CommentTextChar">
    <w:name w:val="Comment Text Char"/>
    <w:basedOn w:val="DefaultParagraphFont"/>
    <w:link w:val="CommentText"/>
    <w:uiPriority w:val="99"/>
    <w:rsid w:val="00D11274"/>
    <w:rPr>
      <w:sz w:val="20"/>
      <w:szCs w:val="20"/>
    </w:rPr>
  </w:style>
  <w:style w:type="paragraph" w:styleId="CommentSubject">
    <w:name w:val="annotation subject"/>
    <w:basedOn w:val="CommentText"/>
    <w:next w:val="CommentText"/>
    <w:link w:val="CommentSubjectChar"/>
    <w:uiPriority w:val="99"/>
    <w:semiHidden/>
    <w:unhideWhenUsed/>
    <w:rsid w:val="00D11274"/>
    <w:rPr>
      <w:b/>
      <w:bCs/>
    </w:rPr>
  </w:style>
  <w:style w:type="character" w:customStyle="1" w:styleId="CommentSubjectChar">
    <w:name w:val="Comment Subject Char"/>
    <w:basedOn w:val="CommentTextChar"/>
    <w:link w:val="CommentSubject"/>
    <w:uiPriority w:val="99"/>
    <w:semiHidden/>
    <w:rsid w:val="00D11274"/>
    <w:rPr>
      <w:b/>
      <w:bCs/>
      <w:sz w:val="20"/>
      <w:szCs w:val="20"/>
    </w:rPr>
  </w:style>
  <w:style w:type="paragraph" w:styleId="Header">
    <w:name w:val="header"/>
    <w:basedOn w:val="Normal"/>
    <w:link w:val="HeaderChar"/>
    <w:uiPriority w:val="99"/>
    <w:unhideWhenUsed/>
    <w:rsid w:val="005515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54B"/>
  </w:style>
  <w:style w:type="paragraph" w:styleId="Footer">
    <w:name w:val="footer"/>
    <w:basedOn w:val="Normal"/>
    <w:link w:val="FooterChar"/>
    <w:uiPriority w:val="99"/>
    <w:unhideWhenUsed/>
    <w:rsid w:val="005515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54B"/>
  </w:style>
  <w:style w:type="character" w:customStyle="1" w:styleId="CaptionChar">
    <w:name w:val="Caption Char"/>
    <w:link w:val="Caption"/>
    <w:rsid w:val="00657BFF"/>
    <w:rPr>
      <w:b/>
      <w:bCs/>
      <w:color w:val="4F81BD" w:themeColor="accent1"/>
      <w:sz w:val="18"/>
      <w:szCs w:val="18"/>
    </w:rPr>
  </w:style>
  <w:style w:type="table" w:styleId="TableGrid">
    <w:name w:val="Table Grid"/>
    <w:basedOn w:val="TableNormal"/>
    <w:uiPriority w:val="39"/>
    <w:rsid w:val="00C5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2F7C56"/>
    <w:rPr>
      <w:rFonts w:asciiTheme="majorHAnsi" w:eastAsiaTheme="majorEastAsia" w:hAnsiTheme="majorHAnsi" w:cstheme="majorBidi"/>
      <w:color w:val="243F60" w:themeColor="accent1" w:themeShade="7F"/>
    </w:rPr>
  </w:style>
  <w:style w:type="paragraph" w:styleId="Revision">
    <w:name w:val="Revision"/>
    <w:hidden/>
    <w:uiPriority w:val="99"/>
    <w:semiHidden/>
    <w:rsid w:val="00CE3866"/>
    <w:pPr>
      <w:spacing w:after="0" w:line="240" w:lineRule="auto"/>
    </w:pPr>
  </w:style>
  <w:style w:type="character" w:customStyle="1" w:styleId="NoSpacingChar">
    <w:name w:val="No Spacing Char"/>
    <w:basedOn w:val="DefaultParagraphFont"/>
    <w:link w:val="NoSpacing"/>
    <w:uiPriority w:val="1"/>
    <w:locked/>
    <w:rsid w:val="00311395"/>
  </w:style>
  <w:style w:type="paragraph" w:styleId="NoSpacing">
    <w:name w:val="No Spacing"/>
    <w:basedOn w:val="Normal"/>
    <w:link w:val="NoSpacingChar"/>
    <w:uiPriority w:val="1"/>
    <w:qFormat/>
    <w:rsid w:val="00311395"/>
    <w:pPr>
      <w:spacing w:after="0" w:line="240" w:lineRule="auto"/>
      <w:jc w:val="left"/>
    </w:pPr>
  </w:style>
  <w:style w:type="paragraph" w:styleId="BodyText">
    <w:name w:val="Body Text"/>
    <w:basedOn w:val="Normal"/>
    <w:link w:val="BodyTextChar"/>
    <w:uiPriority w:val="1"/>
    <w:unhideWhenUsed/>
    <w:qFormat/>
    <w:rsid w:val="00BE6EB7"/>
    <w:pPr>
      <w:widowControl w:val="0"/>
      <w:autoSpaceDE w:val="0"/>
      <w:autoSpaceDN w:val="0"/>
      <w:spacing w:after="0" w:line="240" w:lineRule="auto"/>
      <w:ind w:left="116"/>
      <w:jc w:val="left"/>
    </w:pPr>
    <w:rPr>
      <w:rFonts w:eastAsia="Times New Roman"/>
      <w:lang w:eastAsia="hr-HR" w:bidi="hr-HR"/>
    </w:rPr>
  </w:style>
  <w:style w:type="character" w:customStyle="1" w:styleId="BodyTextChar">
    <w:name w:val="Body Text Char"/>
    <w:basedOn w:val="DefaultParagraphFont"/>
    <w:link w:val="BodyText"/>
    <w:uiPriority w:val="1"/>
    <w:rsid w:val="00BE6EB7"/>
    <w:rPr>
      <w:rFonts w:eastAsia="Times New Roman"/>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667">
      <w:bodyDiv w:val="1"/>
      <w:marLeft w:val="0"/>
      <w:marRight w:val="0"/>
      <w:marTop w:val="0"/>
      <w:marBottom w:val="0"/>
      <w:divBdr>
        <w:top w:val="none" w:sz="0" w:space="0" w:color="auto"/>
        <w:left w:val="none" w:sz="0" w:space="0" w:color="auto"/>
        <w:bottom w:val="none" w:sz="0" w:space="0" w:color="auto"/>
        <w:right w:val="none" w:sz="0" w:space="0" w:color="auto"/>
      </w:divBdr>
    </w:div>
    <w:div w:id="41371108">
      <w:bodyDiv w:val="1"/>
      <w:marLeft w:val="0"/>
      <w:marRight w:val="0"/>
      <w:marTop w:val="0"/>
      <w:marBottom w:val="0"/>
      <w:divBdr>
        <w:top w:val="none" w:sz="0" w:space="0" w:color="auto"/>
        <w:left w:val="none" w:sz="0" w:space="0" w:color="auto"/>
        <w:bottom w:val="none" w:sz="0" w:space="0" w:color="auto"/>
        <w:right w:val="none" w:sz="0" w:space="0" w:color="auto"/>
      </w:divBdr>
    </w:div>
    <w:div w:id="62920567">
      <w:bodyDiv w:val="1"/>
      <w:marLeft w:val="0"/>
      <w:marRight w:val="0"/>
      <w:marTop w:val="0"/>
      <w:marBottom w:val="0"/>
      <w:divBdr>
        <w:top w:val="none" w:sz="0" w:space="0" w:color="auto"/>
        <w:left w:val="none" w:sz="0" w:space="0" w:color="auto"/>
        <w:bottom w:val="none" w:sz="0" w:space="0" w:color="auto"/>
        <w:right w:val="none" w:sz="0" w:space="0" w:color="auto"/>
      </w:divBdr>
    </w:div>
    <w:div w:id="73867528">
      <w:bodyDiv w:val="1"/>
      <w:marLeft w:val="0"/>
      <w:marRight w:val="0"/>
      <w:marTop w:val="0"/>
      <w:marBottom w:val="0"/>
      <w:divBdr>
        <w:top w:val="none" w:sz="0" w:space="0" w:color="auto"/>
        <w:left w:val="none" w:sz="0" w:space="0" w:color="auto"/>
        <w:bottom w:val="none" w:sz="0" w:space="0" w:color="auto"/>
        <w:right w:val="none" w:sz="0" w:space="0" w:color="auto"/>
      </w:divBdr>
    </w:div>
    <w:div w:id="86579174">
      <w:bodyDiv w:val="1"/>
      <w:marLeft w:val="0"/>
      <w:marRight w:val="0"/>
      <w:marTop w:val="0"/>
      <w:marBottom w:val="0"/>
      <w:divBdr>
        <w:top w:val="none" w:sz="0" w:space="0" w:color="auto"/>
        <w:left w:val="none" w:sz="0" w:space="0" w:color="auto"/>
        <w:bottom w:val="none" w:sz="0" w:space="0" w:color="auto"/>
        <w:right w:val="none" w:sz="0" w:space="0" w:color="auto"/>
      </w:divBdr>
    </w:div>
    <w:div w:id="111288147">
      <w:bodyDiv w:val="1"/>
      <w:marLeft w:val="0"/>
      <w:marRight w:val="0"/>
      <w:marTop w:val="0"/>
      <w:marBottom w:val="0"/>
      <w:divBdr>
        <w:top w:val="none" w:sz="0" w:space="0" w:color="auto"/>
        <w:left w:val="none" w:sz="0" w:space="0" w:color="auto"/>
        <w:bottom w:val="none" w:sz="0" w:space="0" w:color="auto"/>
        <w:right w:val="none" w:sz="0" w:space="0" w:color="auto"/>
      </w:divBdr>
    </w:div>
    <w:div w:id="123692318">
      <w:bodyDiv w:val="1"/>
      <w:marLeft w:val="0"/>
      <w:marRight w:val="0"/>
      <w:marTop w:val="0"/>
      <w:marBottom w:val="0"/>
      <w:divBdr>
        <w:top w:val="none" w:sz="0" w:space="0" w:color="auto"/>
        <w:left w:val="none" w:sz="0" w:space="0" w:color="auto"/>
        <w:bottom w:val="none" w:sz="0" w:space="0" w:color="auto"/>
        <w:right w:val="none" w:sz="0" w:space="0" w:color="auto"/>
      </w:divBdr>
    </w:div>
    <w:div w:id="133185157">
      <w:bodyDiv w:val="1"/>
      <w:marLeft w:val="0"/>
      <w:marRight w:val="0"/>
      <w:marTop w:val="0"/>
      <w:marBottom w:val="0"/>
      <w:divBdr>
        <w:top w:val="none" w:sz="0" w:space="0" w:color="auto"/>
        <w:left w:val="none" w:sz="0" w:space="0" w:color="auto"/>
        <w:bottom w:val="none" w:sz="0" w:space="0" w:color="auto"/>
        <w:right w:val="none" w:sz="0" w:space="0" w:color="auto"/>
      </w:divBdr>
    </w:div>
    <w:div w:id="145049071">
      <w:bodyDiv w:val="1"/>
      <w:marLeft w:val="0"/>
      <w:marRight w:val="0"/>
      <w:marTop w:val="0"/>
      <w:marBottom w:val="0"/>
      <w:divBdr>
        <w:top w:val="none" w:sz="0" w:space="0" w:color="auto"/>
        <w:left w:val="none" w:sz="0" w:space="0" w:color="auto"/>
        <w:bottom w:val="none" w:sz="0" w:space="0" w:color="auto"/>
        <w:right w:val="none" w:sz="0" w:space="0" w:color="auto"/>
      </w:divBdr>
    </w:div>
    <w:div w:id="154303082">
      <w:bodyDiv w:val="1"/>
      <w:marLeft w:val="0"/>
      <w:marRight w:val="0"/>
      <w:marTop w:val="0"/>
      <w:marBottom w:val="0"/>
      <w:divBdr>
        <w:top w:val="none" w:sz="0" w:space="0" w:color="auto"/>
        <w:left w:val="none" w:sz="0" w:space="0" w:color="auto"/>
        <w:bottom w:val="none" w:sz="0" w:space="0" w:color="auto"/>
        <w:right w:val="none" w:sz="0" w:space="0" w:color="auto"/>
      </w:divBdr>
    </w:div>
    <w:div w:id="165096627">
      <w:bodyDiv w:val="1"/>
      <w:marLeft w:val="0"/>
      <w:marRight w:val="0"/>
      <w:marTop w:val="0"/>
      <w:marBottom w:val="0"/>
      <w:divBdr>
        <w:top w:val="none" w:sz="0" w:space="0" w:color="auto"/>
        <w:left w:val="none" w:sz="0" w:space="0" w:color="auto"/>
        <w:bottom w:val="none" w:sz="0" w:space="0" w:color="auto"/>
        <w:right w:val="none" w:sz="0" w:space="0" w:color="auto"/>
      </w:divBdr>
    </w:div>
    <w:div w:id="176697008">
      <w:bodyDiv w:val="1"/>
      <w:marLeft w:val="0"/>
      <w:marRight w:val="0"/>
      <w:marTop w:val="0"/>
      <w:marBottom w:val="0"/>
      <w:divBdr>
        <w:top w:val="none" w:sz="0" w:space="0" w:color="auto"/>
        <w:left w:val="none" w:sz="0" w:space="0" w:color="auto"/>
        <w:bottom w:val="none" w:sz="0" w:space="0" w:color="auto"/>
        <w:right w:val="none" w:sz="0" w:space="0" w:color="auto"/>
      </w:divBdr>
    </w:div>
    <w:div w:id="187524724">
      <w:bodyDiv w:val="1"/>
      <w:marLeft w:val="0"/>
      <w:marRight w:val="0"/>
      <w:marTop w:val="0"/>
      <w:marBottom w:val="0"/>
      <w:divBdr>
        <w:top w:val="none" w:sz="0" w:space="0" w:color="auto"/>
        <w:left w:val="none" w:sz="0" w:space="0" w:color="auto"/>
        <w:bottom w:val="none" w:sz="0" w:space="0" w:color="auto"/>
        <w:right w:val="none" w:sz="0" w:space="0" w:color="auto"/>
      </w:divBdr>
    </w:div>
    <w:div w:id="197739421">
      <w:bodyDiv w:val="1"/>
      <w:marLeft w:val="0"/>
      <w:marRight w:val="0"/>
      <w:marTop w:val="0"/>
      <w:marBottom w:val="0"/>
      <w:divBdr>
        <w:top w:val="none" w:sz="0" w:space="0" w:color="auto"/>
        <w:left w:val="none" w:sz="0" w:space="0" w:color="auto"/>
        <w:bottom w:val="none" w:sz="0" w:space="0" w:color="auto"/>
        <w:right w:val="none" w:sz="0" w:space="0" w:color="auto"/>
      </w:divBdr>
    </w:div>
    <w:div w:id="217320393">
      <w:bodyDiv w:val="1"/>
      <w:marLeft w:val="0"/>
      <w:marRight w:val="0"/>
      <w:marTop w:val="0"/>
      <w:marBottom w:val="0"/>
      <w:divBdr>
        <w:top w:val="none" w:sz="0" w:space="0" w:color="auto"/>
        <w:left w:val="none" w:sz="0" w:space="0" w:color="auto"/>
        <w:bottom w:val="none" w:sz="0" w:space="0" w:color="auto"/>
        <w:right w:val="none" w:sz="0" w:space="0" w:color="auto"/>
      </w:divBdr>
    </w:div>
    <w:div w:id="219437082">
      <w:bodyDiv w:val="1"/>
      <w:marLeft w:val="0"/>
      <w:marRight w:val="0"/>
      <w:marTop w:val="0"/>
      <w:marBottom w:val="0"/>
      <w:divBdr>
        <w:top w:val="none" w:sz="0" w:space="0" w:color="auto"/>
        <w:left w:val="none" w:sz="0" w:space="0" w:color="auto"/>
        <w:bottom w:val="none" w:sz="0" w:space="0" w:color="auto"/>
        <w:right w:val="none" w:sz="0" w:space="0" w:color="auto"/>
      </w:divBdr>
    </w:div>
    <w:div w:id="223641265">
      <w:bodyDiv w:val="1"/>
      <w:marLeft w:val="0"/>
      <w:marRight w:val="0"/>
      <w:marTop w:val="0"/>
      <w:marBottom w:val="0"/>
      <w:divBdr>
        <w:top w:val="none" w:sz="0" w:space="0" w:color="auto"/>
        <w:left w:val="none" w:sz="0" w:space="0" w:color="auto"/>
        <w:bottom w:val="none" w:sz="0" w:space="0" w:color="auto"/>
        <w:right w:val="none" w:sz="0" w:space="0" w:color="auto"/>
      </w:divBdr>
    </w:div>
    <w:div w:id="223755149">
      <w:bodyDiv w:val="1"/>
      <w:marLeft w:val="0"/>
      <w:marRight w:val="0"/>
      <w:marTop w:val="0"/>
      <w:marBottom w:val="0"/>
      <w:divBdr>
        <w:top w:val="none" w:sz="0" w:space="0" w:color="auto"/>
        <w:left w:val="none" w:sz="0" w:space="0" w:color="auto"/>
        <w:bottom w:val="none" w:sz="0" w:space="0" w:color="auto"/>
        <w:right w:val="none" w:sz="0" w:space="0" w:color="auto"/>
      </w:divBdr>
    </w:div>
    <w:div w:id="237329795">
      <w:bodyDiv w:val="1"/>
      <w:marLeft w:val="390"/>
      <w:marRight w:val="390"/>
      <w:marTop w:val="0"/>
      <w:marBottom w:val="0"/>
      <w:divBdr>
        <w:top w:val="none" w:sz="0" w:space="0" w:color="auto"/>
        <w:left w:val="none" w:sz="0" w:space="0" w:color="auto"/>
        <w:bottom w:val="none" w:sz="0" w:space="0" w:color="auto"/>
        <w:right w:val="none" w:sz="0" w:space="0" w:color="auto"/>
      </w:divBdr>
      <w:divsChild>
        <w:div w:id="859243597">
          <w:marLeft w:val="0"/>
          <w:marRight w:val="0"/>
          <w:marTop w:val="0"/>
          <w:marBottom w:val="0"/>
          <w:divBdr>
            <w:top w:val="none" w:sz="0" w:space="0" w:color="auto"/>
            <w:left w:val="none" w:sz="0" w:space="0" w:color="auto"/>
            <w:bottom w:val="none" w:sz="0" w:space="0" w:color="auto"/>
            <w:right w:val="none" w:sz="0" w:space="0" w:color="auto"/>
          </w:divBdr>
        </w:div>
      </w:divsChild>
    </w:div>
    <w:div w:id="256986221">
      <w:bodyDiv w:val="1"/>
      <w:marLeft w:val="0"/>
      <w:marRight w:val="0"/>
      <w:marTop w:val="0"/>
      <w:marBottom w:val="0"/>
      <w:divBdr>
        <w:top w:val="none" w:sz="0" w:space="0" w:color="auto"/>
        <w:left w:val="none" w:sz="0" w:space="0" w:color="auto"/>
        <w:bottom w:val="none" w:sz="0" w:space="0" w:color="auto"/>
        <w:right w:val="none" w:sz="0" w:space="0" w:color="auto"/>
      </w:divBdr>
    </w:div>
    <w:div w:id="260837401">
      <w:bodyDiv w:val="1"/>
      <w:marLeft w:val="390"/>
      <w:marRight w:val="390"/>
      <w:marTop w:val="0"/>
      <w:marBottom w:val="0"/>
      <w:divBdr>
        <w:top w:val="none" w:sz="0" w:space="0" w:color="auto"/>
        <w:left w:val="none" w:sz="0" w:space="0" w:color="auto"/>
        <w:bottom w:val="none" w:sz="0" w:space="0" w:color="auto"/>
        <w:right w:val="none" w:sz="0" w:space="0" w:color="auto"/>
      </w:divBdr>
      <w:divsChild>
        <w:div w:id="817458454">
          <w:marLeft w:val="0"/>
          <w:marRight w:val="0"/>
          <w:marTop w:val="0"/>
          <w:marBottom w:val="0"/>
          <w:divBdr>
            <w:top w:val="none" w:sz="0" w:space="0" w:color="auto"/>
            <w:left w:val="none" w:sz="0" w:space="0" w:color="auto"/>
            <w:bottom w:val="none" w:sz="0" w:space="0" w:color="auto"/>
            <w:right w:val="none" w:sz="0" w:space="0" w:color="auto"/>
          </w:divBdr>
        </w:div>
      </w:divsChild>
    </w:div>
    <w:div w:id="274562202">
      <w:bodyDiv w:val="1"/>
      <w:marLeft w:val="0"/>
      <w:marRight w:val="0"/>
      <w:marTop w:val="0"/>
      <w:marBottom w:val="0"/>
      <w:divBdr>
        <w:top w:val="none" w:sz="0" w:space="0" w:color="auto"/>
        <w:left w:val="none" w:sz="0" w:space="0" w:color="auto"/>
        <w:bottom w:val="none" w:sz="0" w:space="0" w:color="auto"/>
        <w:right w:val="none" w:sz="0" w:space="0" w:color="auto"/>
      </w:divBdr>
    </w:div>
    <w:div w:id="278221548">
      <w:bodyDiv w:val="1"/>
      <w:marLeft w:val="0"/>
      <w:marRight w:val="0"/>
      <w:marTop w:val="0"/>
      <w:marBottom w:val="0"/>
      <w:divBdr>
        <w:top w:val="none" w:sz="0" w:space="0" w:color="auto"/>
        <w:left w:val="none" w:sz="0" w:space="0" w:color="auto"/>
        <w:bottom w:val="none" w:sz="0" w:space="0" w:color="auto"/>
        <w:right w:val="none" w:sz="0" w:space="0" w:color="auto"/>
      </w:divBdr>
    </w:div>
    <w:div w:id="300425586">
      <w:bodyDiv w:val="1"/>
      <w:marLeft w:val="0"/>
      <w:marRight w:val="0"/>
      <w:marTop w:val="0"/>
      <w:marBottom w:val="0"/>
      <w:divBdr>
        <w:top w:val="none" w:sz="0" w:space="0" w:color="auto"/>
        <w:left w:val="none" w:sz="0" w:space="0" w:color="auto"/>
        <w:bottom w:val="none" w:sz="0" w:space="0" w:color="auto"/>
        <w:right w:val="none" w:sz="0" w:space="0" w:color="auto"/>
      </w:divBdr>
    </w:div>
    <w:div w:id="308949796">
      <w:bodyDiv w:val="1"/>
      <w:marLeft w:val="0"/>
      <w:marRight w:val="0"/>
      <w:marTop w:val="0"/>
      <w:marBottom w:val="0"/>
      <w:divBdr>
        <w:top w:val="none" w:sz="0" w:space="0" w:color="auto"/>
        <w:left w:val="none" w:sz="0" w:space="0" w:color="auto"/>
        <w:bottom w:val="none" w:sz="0" w:space="0" w:color="auto"/>
        <w:right w:val="none" w:sz="0" w:space="0" w:color="auto"/>
      </w:divBdr>
    </w:div>
    <w:div w:id="322513976">
      <w:bodyDiv w:val="1"/>
      <w:marLeft w:val="0"/>
      <w:marRight w:val="0"/>
      <w:marTop w:val="0"/>
      <w:marBottom w:val="0"/>
      <w:divBdr>
        <w:top w:val="none" w:sz="0" w:space="0" w:color="auto"/>
        <w:left w:val="none" w:sz="0" w:space="0" w:color="auto"/>
        <w:bottom w:val="none" w:sz="0" w:space="0" w:color="auto"/>
        <w:right w:val="none" w:sz="0" w:space="0" w:color="auto"/>
      </w:divBdr>
    </w:div>
    <w:div w:id="325285393">
      <w:bodyDiv w:val="1"/>
      <w:marLeft w:val="0"/>
      <w:marRight w:val="0"/>
      <w:marTop w:val="0"/>
      <w:marBottom w:val="0"/>
      <w:divBdr>
        <w:top w:val="none" w:sz="0" w:space="0" w:color="auto"/>
        <w:left w:val="none" w:sz="0" w:space="0" w:color="auto"/>
        <w:bottom w:val="none" w:sz="0" w:space="0" w:color="auto"/>
        <w:right w:val="none" w:sz="0" w:space="0" w:color="auto"/>
      </w:divBdr>
    </w:div>
    <w:div w:id="328484322">
      <w:bodyDiv w:val="1"/>
      <w:marLeft w:val="0"/>
      <w:marRight w:val="0"/>
      <w:marTop w:val="0"/>
      <w:marBottom w:val="0"/>
      <w:divBdr>
        <w:top w:val="none" w:sz="0" w:space="0" w:color="auto"/>
        <w:left w:val="none" w:sz="0" w:space="0" w:color="auto"/>
        <w:bottom w:val="none" w:sz="0" w:space="0" w:color="auto"/>
        <w:right w:val="none" w:sz="0" w:space="0" w:color="auto"/>
      </w:divBdr>
    </w:div>
    <w:div w:id="334573559">
      <w:bodyDiv w:val="1"/>
      <w:marLeft w:val="0"/>
      <w:marRight w:val="0"/>
      <w:marTop w:val="0"/>
      <w:marBottom w:val="0"/>
      <w:divBdr>
        <w:top w:val="none" w:sz="0" w:space="0" w:color="auto"/>
        <w:left w:val="none" w:sz="0" w:space="0" w:color="auto"/>
        <w:bottom w:val="none" w:sz="0" w:space="0" w:color="auto"/>
        <w:right w:val="none" w:sz="0" w:space="0" w:color="auto"/>
      </w:divBdr>
    </w:div>
    <w:div w:id="343292298">
      <w:bodyDiv w:val="1"/>
      <w:marLeft w:val="0"/>
      <w:marRight w:val="0"/>
      <w:marTop w:val="0"/>
      <w:marBottom w:val="0"/>
      <w:divBdr>
        <w:top w:val="none" w:sz="0" w:space="0" w:color="auto"/>
        <w:left w:val="none" w:sz="0" w:space="0" w:color="auto"/>
        <w:bottom w:val="none" w:sz="0" w:space="0" w:color="auto"/>
        <w:right w:val="none" w:sz="0" w:space="0" w:color="auto"/>
      </w:divBdr>
    </w:div>
    <w:div w:id="362556689">
      <w:bodyDiv w:val="1"/>
      <w:marLeft w:val="0"/>
      <w:marRight w:val="0"/>
      <w:marTop w:val="0"/>
      <w:marBottom w:val="0"/>
      <w:divBdr>
        <w:top w:val="none" w:sz="0" w:space="0" w:color="auto"/>
        <w:left w:val="none" w:sz="0" w:space="0" w:color="auto"/>
        <w:bottom w:val="none" w:sz="0" w:space="0" w:color="auto"/>
        <w:right w:val="none" w:sz="0" w:space="0" w:color="auto"/>
      </w:divBdr>
    </w:div>
    <w:div w:id="369110575">
      <w:bodyDiv w:val="1"/>
      <w:marLeft w:val="0"/>
      <w:marRight w:val="0"/>
      <w:marTop w:val="0"/>
      <w:marBottom w:val="0"/>
      <w:divBdr>
        <w:top w:val="none" w:sz="0" w:space="0" w:color="auto"/>
        <w:left w:val="none" w:sz="0" w:space="0" w:color="auto"/>
        <w:bottom w:val="none" w:sz="0" w:space="0" w:color="auto"/>
        <w:right w:val="none" w:sz="0" w:space="0" w:color="auto"/>
      </w:divBdr>
    </w:div>
    <w:div w:id="405537354">
      <w:bodyDiv w:val="1"/>
      <w:marLeft w:val="0"/>
      <w:marRight w:val="0"/>
      <w:marTop w:val="0"/>
      <w:marBottom w:val="0"/>
      <w:divBdr>
        <w:top w:val="none" w:sz="0" w:space="0" w:color="auto"/>
        <w:left w:val="none" w:sz="0" w:space="0" w:color="auto"/>
        <w:bottom w:val="none" w:sz="0" w:space="0" w:color="auto"/>
        <w:right w:val="none" w:sz="0" w:space="0" w:color="auto"/>
      </w:divBdr>
    </w:div>
    <w:div w:id="409156970">
      <w:bodyDiv w:val="1"/>
      <w:marLeft w:val="0"/>
      <w:marRight w:val="0"/>
      <w:marTop w:val="0"/>
      <w:marBottom w:val="0"/>
      <w:divBdr>
        <w:top w:val="none" w:sz="0" w:space="0" w:color="auto"/>
        <w:left w:val="none" w:sz="0" w:space="0" w:color="auto"/>
        <w:bottom w:val="none" w:sz="0" w:space="0" w:color="auto"/>
        <w:right w:val="none" w:sz="0" w:space="0" w:color="auto"/>
      </w:divBdr>
    </w:div>
    <w:div w:id="442918947">
      <w:bodyDiv w:val="1"/>
      <w:marLeft w:val="0"/>
      <w:marRight w:val="0"/>
      <w:marTop w:val="0"/>
      <w:marBottom w:val="0"/>
      <w:divBdr>
        <w:top w:val="none" w:sz="0" w:space="0" w:color="auto"/>
        <w:left w:val="none" w:sz="0" w:space="0" w:color="auto"/>
        <w:bottom w:val="none" w:sz="0" w:space="0" w:color="auto"/>
        <w:right w:val="none" w:sz="0" w:space="0" w:color="auto"/>
      </w:divBdr>
    </w:div>
    <w:div w:id="464199359">
      <w:bodyDiv w:val="1"/>
      <w:marLeft w:val="0"/>
      <w:marRight w:val="0"/>
      <w:marTop w:val="0"/>
      <w:marBottom w:val="0"/>
      <w:divBdr>
        <w:top w:val="none" w:sz="0" w:space="0" w:color="auto"/>
        <w:left w:val="none" w:sz="0" w:space="0" w:color="auto"/>
        <w:bottom w:val="none" w:sz="0" w:space="0" w:color="auto"/>
        <w:right w:val="none" w:sz="0" w:space="0" w:color="auto"/>
      </w:divBdr>
    </w:div>
    <w:div w:id="481435747">
      <w:bodyDiv w:val="1"/>
      <w:marLeft w:val="0"/>
      <w:marRight w:val="0"/>
      <w:marTop w:val="0"/>
      <w:marBottom w:val="0"/>
      <w:divBdr>
        <w:top w:val="none" w:sz="0" w:space="0" w:color="auto"/>
        <w:left w:val="none" w:sz="0" w:space="0" w:color="auto"/>
        <w:bottom w:val="none" w:sz="0" w:space="0" w:color="auto"/>
        <w:right w:val="none" w:sz="0" w:space="0" w:color="auto"/>
      </w:divBdr>
    </w:div>
    <w:div w:id="483551837">
      <w:bodyDiv w:val="1"/>
      <w:marLeft w:val="0"/>
      <w:marRight w:val="0"/>
      <w:marTop w:val="0"/>
      <w:marBottom w:val="0"/>
      <w:divBdr>
        <w:top w:val="none" w:sz="0" w:space="0" w:color="auto"/>
        <w:left w:val="none" w:sz="0" w:space="0" w:color="auto"/>
        <w:bottom w:val="none" w:sz="0" w:space="0" w:color="auto"/>
        <w:right w:val="none" w:sz="0" w:space="0" w:color="auto"/>
      </w:divBdr>
    </w:div>
    <w:div w:id="498618288">
      <w:bodyDiv w:val="1"/>
      <w:marLeft w:val="0"/>
      <w:marRight w:val="0"/>
      <w:marTop w:val="0"/>
      <w:marBottom w:val="0"/>
      <w:divBdr>
        <w:top w:val="none" w:sz="0" w:space="0" w:color="auto"/>
        <w:left w:val="none" w:sz="0" w:space="0" w:color="auto"/>
        <w:bottom w:val="none" w:sz="0" w:space="0" w:color="auto"/>
        <w:right w:val="none" w:sz="0" w:space="0" w:color="auto"/>
      </w:divBdr>
    </w:div>
    <w:div w:id="507450434">
      <w:bodyDiv w:val="1"/>
      <w:marLeft w:val="0"/>
      <w:marRight w:val="0"/>
      <w:marTop w:val="0"/>
      <w:marBottom w:val="0"/>
      <w:divBdr>
        <w:top w:val="none" w:sz="0" w:space="0" w:color="auto"/>
        <w:left w:val="none" w:sz="0" w:space="0" w:color="auto"/>
        <w:bottom w:val="none" w:sz="0" w:space="0" w:color="auto"/>
        <w:right w:val="none" w:sz="0" w:space="0" w:color="auto"/>
      </w:divBdr>
    </w:div>
    <w:div w:id="524754243">
      <w:bodyDiv w:val="1"/>
      <w:marLeft w:val="0"/>
      <w:marRight w:val="0"/>
      <w:marTop w:val="0"/>
      <w:marBottom w:val="0"/>
      <w:divBdr>
        <w:top w:val="none" w:sz="0" w:space="0" w:color="auto"/>
        <w:left w:val="none" w:sz="0" w:space="0" w:color="auto"/>
        <w:bottom w:val="none" w:sz="0" w:space="0" w:color="auto"/>
        <w:right w:val="none" w:sz="0" w:space="0" w:color="auto"/>
      </w:divBdr>
    </w:div>
    <w:div w:id="544679275">
      <w:bodyDiv w:val="1"/>
      <w:marLeft w:val="0"/>
      <w:marRight w:val="0"/>
      <w:marTop w:val="0"/>
      <w:marBottom w:val="0"/>
      <w:divBdr>
        <w:top w:val="none" w:sz="0" w:space="0" w:color="auto"/>
        <w:left w:val="none" w:sz="0" w:space="0" w:color="auto"/>
        <w:bottom w:val="none" w:sz="0" w:space="0" w:color="auto"/>
        <w:right w:val="none" w:sz="0" w:space="0" w:color="auto"/>
      </w:divBdr>
    </w:div>
    <w:div w:id="550846563">
      <w:bodyDiv w:val="1"/>
      <w:marLeft w:val="0"/>
      <w:marRight w:val="0"/>
      <w:marTop w:val="0"/>
      <w:marBottom w:val="0"/>
      <w:divBdr>
        <w:top w:val="none" w:sz="0" w:space="0" w:color="auto"/>
        <w:left w:val="none" w:sz="0" w:space="0" w:color="auto"/>
        <w:bottom w:val="none" w:sz="0" w:space="0" w:color="auto"/>
        <w:right w:val="none" w:sz="0" w:space="0" w:color="auto"/>
      </w:divBdr>
    </w:div>
    <w:div w:id="554242429">
      <w:bodyDiv w:val="1"/>
      <w:marLeft w:val="0"/>
      <w:marRight w:val="0"/>
      <w:marTop w:val="0"/>
      <w:marBottom w:val="0"/>
      <w:divBdr>
        <w:top w:val="none" w:sz="0" w:space="0" w:color="auto"/>
        <w:left w:val="none" w:sz="0" w:space="0" w:color="auto"/>
        <w:bottom w:val="none" w:sz="0" w:space="0" w:color="auto"/>
        <w:right w:val="none" w:sz="0" w:space="0" w:color="auto"/>
      </w:divBdr>
    </w:div>
    <w:div w:id="563302015">
      <w:bodyDiv w:val="1"/>
      <w:marLeft w:val="0"/>
      <w:marRight w:val="0"/>
      <w:marTop w:val="0"/>
      <w:marBottom w:val="0"/>
      <w:divBdr>
        <w:top w:val="none" w:sz="0" w:space="0" w:color="auto"/>
        <w:left w:val="none" w:sz="0" w:space="0" w:color="auto"/>
        <w:bottom w:val="none" w:sz="0" w:space="0" w:color="auto"/>
        <w:right w:val="none" w:sz="0" w:space="0" w:color="auto"/>
      </w:divBdr>
    </w:div>
    <w:div w:id="572198330">
      <w:bodyDiv w:val="1"/>
      <w:marLeft w:val="0"/>
      <w:marRight w:val="0"/>
      <w:marTop w:val="0"/>
      <w:marBottom w:val="0"/>
      <w:divBdr>
        <w:top w:val="none" w:sz="0" w:space="0" w:color="auto"/>
        <w:left w:val="none" w:sz="0" w:space="0" w:color="auto"/>
        <w:bottom w:val="none" w:sz="0" w:space="0" w:color="auto"/>
        <w:right w:val="none" w:sz="0" w:space="0" w:color="auto"/>
      </w:divBdr>
    </w:div>
    <w:div w:id="573970984">
      <w:bodyDiv w:val="1"/>
      <w:marLeft w:val="0"/>
      <w:marRight w:val="0"/>
      <w:marTop w:val="0"/>
      <w:marBottom w:val="0"/>
      <w:divBdr>
        <w:top w:val="none" w:sz="0" w:space="0" w:color="auto"/>
        <w:left w:val="none" w:sz="0" w:space="0" w:color="auto"/>
        <w:bottom w:val="none" w:sz="0" w:space="0" w:color="auto"/>
        <w:right w:val="none" w:sz="0" w:space="0" w:color="auto"/>
      </w:divBdr>
    </w:div>
    <w:div w:id="588779511">
      <w:bodyDiv w:val="1"/>
      <w:marLeft w:val="0"/>
      <w:marRight w:val="0"/>
      <w:marTop w:val="0"/>
      <w:marBottom w:val="0"/>
      <w:divBdr>
        <w:top w:val="none" w:sz="0" w:space="0" w:color="auto"/>
        <w:left w:val="none" w:sz="0" w:space="0" w:color="auto"/>
        <w:bottom w:val="none" w:sz="0" w:space="0" w:color="auto"/>
        <w:right w:val="none" w:sz="0" w:space="0" w:color="auto"/>
      </w:divBdr>
    </w:div>
    <w:div w:id="603809659">
      <w:bodyDiv w:val="1"/>
      <w:marLeft w:val="0"/>
      <w:marRight w:val="0"/>
      <w:marTop w:val="0"/>
      <w:marBottom w:val="0"/>
      <w:divBdr>
        <w:top w:val="none" w:sz="0" w:space="0" w:color="auto"/>
        <w:left w:val="none" w:sz="0" w:space="0" w:color="auto"/>
        <w:bottom w:val="none" w:sz="0" w:space="0" w:color="auto"/>
        <w:right w:val="none" w:sz="0" w:space="0" w:color="auto"/>
      </w:divBdr>
    </w:div>
    <w:div w:id="606233988">
      <w:bodyDiv w:val="1"/>
      <w:marLeft w:val="0"/>
      <w:marRight w:val="0"/>
      <w:marTop w:val="0"/>
      <w:marBottom w:val="0"/>
      <w:divBdr>
        <w:top w:val="none" w:sz="0" w:space="0" w:color="auto"/>
        <w:left w:val="none" w:sz="0" w:space="0" w:color="auto"/>
        <w:bottom w:val="none" w:sz="0" w:space="0" w:color="auto"/>
        <w:right w:val="none" w:sz="0" w:space="0" w:color="auto"/>
      </w:divBdr>
    </w:div>
    <w:div w:id="610861381">
      <w:bodyDiv w:val="1"/>
      <w:marLeft w:val="0"/>
      <w:marRight w:val="0"/>
      <w:marTop w:val="0"/>
      <w:marBottom w:val="0"/>
      <w:divBdr>
        <w:top w:val="none" w:sz="0" w:space="0" w:color="auto"/>
        <w:left w:val="none" w:sz="0" w:space="0" w:color="auto"/>
        <w:bottom w:val="none" w:sz="0" w:space="0" w:color="auto"/>
        <w:right w:val="none" w:sz="0" w:space="0" w:color="auto"/>
      </w:divBdr>
    </w:div>
    <w:div w:id="620575216">
      <w:bodyDiv w:val="1"/>
      <w:marLeft w:val="390"/>
      <w:marRight w:val="390"/>
      <w:marTop w:val="0"/>
      <w:marBottom w:val="0"/>
      <w:divBdr>
        <w:top w:val="none" w:sz="0" w:space="0" w:color="auto"/>
        <w:left w:val="none" w:sz="0" w:space="0" w:color="auto"/>
        <w:bottom w:val="none" w:sz="0" w:space="0" w:color="auto"/>
        <w:right w:val="none" w:sz="0" w:space="0" w:color="auto"/>
      </w:divBdr>
      <w:divsChild>
        <w:div w:id="308705209">
          <w:marLeft w:val="0"/>
          <w:marRight w:val="0"/>
          <w:marTop w:val="0"/>
          <w:marBottom w:val="0"/>
          <w:divBdr>
            <w:top w:val="none" w:sz="0" w:space="0" w:color="auto"/>
            <w:left w:val="none" w:sz="0" w:space="0" w:color="auto"/>
            <w:bottom w:val="none" w:sz="0" w:space="0" w:color="auto"/>
            <w:right w:val="none" w:sz="0" w:space="0" w:color="auto"/>
          </w:divBdr>
        </w:div>
      </w:divsChild>
    </w:div>
    <w:div w:id="627979290">
      <w:bodyDiv w:val="1"/>
      <w:marLeft w:val="0"/>
      <w:marRight w:val="0"/>
      <w:marTop w:val="0"/>
      <w:marBottom w:val="0"/>
      <w:divBdr>
        <w:top w:val="none" w:sz="0" w:space="0" w:color="auto"/>
        <w:left w:val="none" w:sz="0" w:space="0" w:color="auto"/>
        <w:bottom w:val="none" w:sz="0" w:space="0" w:color="auto"/>
        <w:right w:val="none" w:sz="0" w:space="0" w:color="auto"/>
      </w:divBdr>
    </w:div>
    <w:div w:id="637297867">
      <w:bodyDiv w:val="1"/>
      <w:marLeft w:val="0"/>
      <w:marRight w:val="0"/>
      <w:marTop w:val="0"/>
      <w:marBottom w:val="0"/>
      <w:divBdr>
        <w:top w:val="none" w:sz="0" w:space="0" w:color="auto"/>
        <w:left w:val="none" w:sz="0" w:space="0" w:color="auto"/>
        <w:bottom w:val="none" w:sz="0" w:space="0" w:color="auto"/>
        <w:right w:val="none" w:sz="0" w:space="0" w:color="auto"/>
      </w:divBdr>
    </w:div>
    <w:div w:id="637299580">
      <w:bodyDiv w:val="1"/>
      <w:marLeft w:val="0"/>
      <w:marRight w:val="0"/>
      <w:marTop w:val="0"/>
      <w:marBottom w:val="0"/>
      <w:divBdr>
        <w:top w:val="none" w:sz="0" w:space="0" w:color="auto"/>
        <w:left w:val="none" w:sz="0" w:space="0" w:color="auto"/>
        <w:bottom w:val="none" w:sz="0" w:space="0" w:color="auto"/>
        <w:right w:val="none" w:sz="0" w:space="0" w:color="auto"/>
      </w:divBdr>
    </w:div>
    <w:div w:id="638926470">
      <w:bodyDiv w:val="1"/>
      <w:marLeft w:val="0"/>
      <w:marRight w:val="0"/>
      <w:marTop w:val="0"/>
      <w:marBottom w:val="0"/>
      <w:divBdr>
        <w:top w:val="none" w:sz="0" w:space="0" w:color="auto"/>
        <w:left w:val="none" w:sz="0" w:space="0" w:color="auto"/>
        <w:bottom w:val="none" w:sz="0" w:space="0" w:color="auto"/>
        <w:right w:val="none" w:sz="0" w:space="0" w:color="auto"/>
      </w:divBdr>
    </w:div>
    <w:div w:id="639458841">
      <w:bodyDiv w:val="1"/>
      <w:marLeft w:val="0"/>
      <w:marRight w:val="0"/>
      <w:marTop w:val="0"/>
      <w:marBottom w:val="0"/>
      <w:divBdr>
        <w:top w:val="none" w:sz="0" w:space="0" w:color="auto"/>
        <w:left w:val="none" w:sz="0" w:space="0" w:color="auto"/>
        <w:bottom w:val="none" w:sz="0" w:space="0" w:color="auto"/>
        <w:right w:val="none" w:sz="0" w:space="0" w:color="auto"/>
      </w:divBdr>
    </w:div>
    <w:div w:id="649404990">
      <w:bodyDiv w:val="1"/>
      <w:marLeft w:val="0"/>
      <w:marRight w:val="0"/>
      <w:marTop w:val="0"/>
      <w:marBottom w:val="0"/>
      <w:divBdr>
        <w:top w:val="none" w:sz="0" w:space="0" w:color="auto"/>
        <w:left w:val="none" w:sz="0" w:space="0" w:color="auto"/>
        <w:bottom w:val="none" w:sz="0" w:space="0" w:color="auto"/>
        <w:right w:val="none" w:sz="0" w:space="0" w:color="auto"/>
      </w:divBdr>
    </w:div>
    <w:div w:id="651981753">
      <w:bodyDiv w:val="1"/>
      <w:marLeft w:val="0"/>
      <w:marRight w:val="0"/>
      <w:marTop w:val="0"/>
      <w:marBottom w:val="0"/>
      <w:divBdr>
        <w:top w:val="none" w:sz="0" w:space="0" w:color="auto"/>
        <w:left w:val="none" w:sz="0" w:space="0" w:color="auto"/>
        <w:bottom w:val="none" w:sz="0" w:space="0" w:color="auto"/>
        <w:right w:val="none" w:sz="0" w:space="0" w:color="auto"/>
      </w:divBdr>
    </w:div>
    <w:div w:id="654263282">
      <w:bodyDiv w:val="1"/>
      <w:marLeft w:val="0"/>
      <w:marRight w:val="0"/>
      <w:marTop w:val="0"/>
      <w:marBottom w:val="0"/>
      <w:divBdr>
        <w:top w:val="none" w:sz="0" w:space="0" w:color="auto"/>
        <w:left w:val="none" w:sz="0" w:space="0" w:color="auto"/>
        <w:bottom w:val="none" w:sz="0" w:space="0" w:color="auto"/>
        <w:right w:val="none" w:sz="0" w:space="0" w:color="auto"/>
      </w:divBdr>
    </w:div>
    <w:div w:id="662971146">
      <w:bodyDiv w:val="1"/>
      <w:marLeft w:val="0"/>
      <w:marRight w:val="0"/>
      <w:marTop w:val="0"/>
      <w:marBottom w:val="0"/>
      <w:divBdr>
        <w:top w:val="none" w:sz="0" w:space="0" w:color="auto"/>
        <w:left w:val="none" w:sz="0" w:space="0" w:color="auto"/>
        <w:bottom w:val="none" w:sz="0" w:space="0" w:color="auto"/>
        <w:right w:val="none" w:sz="0" w:space="0" w:color="auto"/>
      </w:divBdr>
    </w:div>
    <w:div w:id="664281288">
      <w:bodyDiv w:val="1"/>
      <w:marLeft w:val="0"/>
      <w:marRight w:val="0"/>
      <w:marTop w:val="0"/>
      <w:marBottom w:val="0"/>
      <w:divBdr>
        <w:top w:val="none" w:sz="0" w:space="0" w:color="auto"/>
        <w:left w:val="none" w:sz="0" w:space="0" w:color="auto"/>
        <w:bottom w:val="none" w:sz="0" w:space="0" w:color="auto"/>
        <w:right w:val="none" w:sz="0" w:space="0" w:color="auto"/>
      </w:divBdr>
    </w:div>
    <w:div w:id="679701345">
      <w:bodyDiv w:val="1"/>
      <w:marLeft w:val="0"/>
      <w:marRight w:val="0"/>
      <w:marTop w:val="0"/>
      <w:marBottom w:val="0"/>
      <w:divBdr>
        <w:top w:val="none" w:sz="0" w:space="0" w:color="auto"/>
        <w:left w:val="none" w:sz="0" w:space="0" w:color="auto"/>
        <w:bottom w:val="none" w:sz="0" w:space="0" w:color="auto"/>
        <w:right w:val="none" w:sz="0" w:space="0" w:color="auto"/>
      </w:divBdr>
    </w:div>
    <w:div w:id="685013211">
      <w:bodyDiv w:val="1"/>
      <w:marLeft w:val="0"/>
      <w:marRight w:val="0"/>
      <w:marTop w:val="0"/>
      <w:marBottom w:val="0"/>
      <w:divBdr>
        <w:top w:val="none" w:sz="0" w:space="0" w:color="auto"/>
        <w:left w:val="none" w:sz="0" w:space="0" w:color="auto"/>
        <w:bottom w:val="none" w:sz="0" w:space="0" w:color="auto"/>
        <w:right w:val="none" w:sz="0" w:space="0" w:color="auto"/>
      </w:divBdr>
    </w:div>
    <w:div w:id="716004672">
      <w:bodyDiv w:val="1"/>
      <w:marLeft w:val="0"/>
      <w:marRight w:val="0"/>
      <w:marTop w:val="0"/>
      <w:marBottom w:val="0"/>
      <w:divBdr>
        <w:top w:val="none" w:sz="0" w:space="0" w:color="auto"/>
        <w:left w:val="none" w:sz="0" w:space="0" w:color="auto"/>
        <w:bottom w:val="none" w:sz="0" w:space="0" w:color="auto"/>
        <w:right w:val="none" w:sz="0" w:space="0" w:color="auto"/>
      </w:divBdr>
    </w:div>
    <w:div w:id="728725854">
      <w:bodyDiv w:val="1"/>
      <w:marLeft w:val="0"/>
      <w:marRight w:val="0"/>
      <w:marTop w:val="0"/>
      <w:marBottom w:val="0"/>
      <w:divBdr>
        <w:top w:val="none" w:sz="0" w:space="0" w:color="auto"/>
        <w:left w:val="none" w:sz="0" w:space="0" w:color="auto"/>
        <w:bottom w:val="none" w:sz="0" w:space="0" w:color="auto"/>
        <w:right w:val="none" w:sz="0" w:space="0" w:color="auto"/>
      </w:divBdr>
    </w:div>
    <w:div w:id="746197274">
      <w:bodyDiv w:val="1"/>
      <w:marLeft w:val="0"/>
      <w:marRight w:val="0"/>
      <w:marTop w:val="0"/>
      <w:marBottom w:val="0"/>
      <w:divBdr>
        <w:top w:val="none" w:sz="0" w:space="0" w:color="auto"/>
        <w:left w:val="none" w:sz="0" w:space="0" w:color="auto"/>
        <w:bottom w:val="none" w:sz="0" w:space="0" w:color="auto"/>
        <w:right w:val="none" w:sz="0" w:space="0" w:color="auto"/>
      </w:divBdr>
    </w:div>
    <w:div w:id="749011979">
      <w:bodyDiv w:val="1"/>
      <w:marLeft w:val="0"/>
      <w:marRight w:val="0"/>
      <w:marTop w:val="0"/>
      <w:marBottom w:val="0"/>
      <w:divBdr>
        <w:top w:val="none" w:sz="0" w:space="0" w:color="auto"/>
        <w:left w:val="none" w:sz="0" w:space="0" w:color="auto"/>
        <w:bottom w:val="none" w:sz="0" w:space="0" w:color="auto"/>
        <w:right w:val="none" w:sz="0" w:space="0" w:color="auto"/>
      </w:divBdr>
    </w:div>
    <w:div w:id="768236008">
      <w:bodyDiv w:val="1"/>
      <w:marLeft w:val="0"/>
      <w:marRight w:val="0"/>
      <w:marTop w:val="0"/>
      <w:marBottom w:val="0"/>
      <w:divBdr>
        <w:top w:val="none" w:sz="0" w:space="0" w:color="auto"/>
        <w:left w:val="none" w:sz="0" w:space="0" w:color="auto"/>
        <w:bottom w:val="none" w:sz="0" w:space="0" w:color="auto"/>
        <w:right w:val="none" w:sz="0" w:space="0" w:color="auto"/>
      </w:divBdr>
    </w:div>
    <w:div w:id="814880185">
      <w:bodyDiv w:val="1"/>
      <w:marLeft w:val="0"/>
      <w:marRight w:val="0"/>
      <w:marTop w:val="0"/>
      <w:marBottom w:val="0"/>
      <w:divBdr>
        <w:top w:val="none" w:sz="0" w:space="0" w:color="auto"/>
        <w:left w:val="none" w:sz="0" w:space="0" w:color="auto"/>
        <w:bottom w:val="none" w:sz="0" w:space="0" w:color="auto"/>
        <w:right w:val="none" w:sz="0" w:space="0" w:color="auto"/>
      </w:divBdr>
    </w:div>
    <w:div w:id="826672556">
      <w:bodyDiv w:val="1"/>
      <w:marLeft w:val="0"/>
      <w:marRight w:val="0"/>
      <w:marTop w:val="0"/>
      <w:marBottom w:val="0"/>
      <w:divBdr>
        <w:top w:val="none" w:sz="0" w:space="0" w:color="auto"/>
        <w:left w:val="none" w:sz="0" w:space="0" w:color="auto"/>
        <w:bottom w:val="none" w:sz="0" w:space="0" w:color="auto"/>
        <w:right w:val="none" w:sz="0" w:space="0" w:color="auto"/>
      </w:divBdr>
    </w:div>
    <w:div w:id="829948099">
      <w:bodyDiv w:val="1"/>
      <w:marLeft w:val="0"/>
      <w:marRight w:val="0"/>
      <w:marTop w:val="0"/>
      <w:marBottom w:val="0"/>
      <w:divBdr>
        <w:top w:val="none" w:sz="0" w:space="0" w:color="auto"/>
        <w:left w:val="none" w:sz="0" w:space="0" w:color="auto"/>
        <w:bottom w:val="none" w:sz="0" w:space="0" w:color="auto"/>
        <w:right w:val="none" w:sz="0" w:space="0" w:color="auto"/>
      </w:divBdr>
    </w:div>
    <w:div w:id="847598720">
      <w:bodyDiv w:val="1"/>
      <w:marLeft w:val="0"/>
      <w:marRight w:val="0"/>
      <w:marTop w:val="0"/>
      <w:marBottom w:val="0"/>
      <w:divBdr>
        <w:top w:val="none" w:sz="0" w:space="0" w:color="auto"/>
        <w:left w:val="none" w:sz="0" w:space="0" w:color="auto"/>
        <w:bottom w:val="none" w:sz="0" w:space="0" w:color="auto"/>
        <w:right w:val="none" w:sz="0" w:space="0" w:color="auto"/>
      </w:divBdr>
    </w:div>
    <w:div w:id="866597013">
      <w:bodyDiv w:val="1"/>
      <w:marLeft w:val="0"/>
      <w:marRight w:val="0"/>
      <w:marTop w:val="0"/>
      <w:marBottom w:val="0"/>
      <w:divBdr>
        <w:top w:val="none" w:sz="0" w:space="0" w:color="auto"/>
        <w:left w:val="none" w:sz="0" w:space="0" w:color="auto"/>
        <w:bottom w:val="none" w:sz="0" w:space="0" w:color="auto"/>
        <w:right w:val="none" w:sz="0" w:space="0" w:color="auto"/>
      </w:divBdr>
    </w:div>
    <w:div w:id="867526621">
      <w:bodyDiv w:val="1"/>
      <w:marLeft w:val="0"/>
      <w:marRight w:val="0"/>
      <w:marTop w:val="0"/>
      <w:marBottom w:val="0"/>
      <w:divBdr>
        <w:top w:val="none" w:sz="0" w:space="0" w:color="auto"/>
        <w:left w:val="none" w:sz="0" w:space="0" w:color="auto"/>
        <w:bottom w:val="none" w:sz="0" w:space="0" w:color="auto"/>
        <w:right w:val="none" w:sz="0" w:space="0" w:color="auto"/>
      </w:divBdr>
    </w:div>
    <w:div w:id="883516690">
      <w:bodyDiv w:val="1"/>
      <w:marLeft w:val="0"/>
      <w:marRight w:val="0"/>
      <w:marTop w:val="0"/>
      <w:marBottom w:val="0"/>
      <w:divBdr>
        <w:top w:val="none" w:sz="0" w:space="0" w:color="auto"/>
        <w:left w:val="none" w:sz="0" w:space="0" w:color="auto"/>
        <w:bottom w:val="none" w:sz="0" w:space="0" w:color="auto"/>
        <w:right w:val="none" w:sz="0" w:space="0" w:color="auto"/>
      </w:divBdr>
    </w:div>
    <w:div w:id="892230196">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04923188">
      <w:bodyDiv w:val="1"/>
      <w:marLeft w:val="0"/>
      <w:marRight w:val="0"/>
      <w:marTop w:val="0"/>
      <w:marBottom w:val="0"/>
      <w:divBdr>
        <w:top w:val="none" w:sz="0" w:space="0" w:color="auto"/>
        <w:left w:val="none" w:sz="0" w:space="0" w:color="auto"/>
        <w:bottom w:val="none" w:sz="0" w:space="0" w:color="auto"/>
        <w:right w:val="none" w:sz="0" w:space="0" w:color="auto"/>
      </w:divBdr>
    </w:div>
    <w:div w:id="904989598">
      <w:bodyDiv w:val="1"/>
      <w:marLeft w:val="0"/>
      <w:marRight w:val="0"/>
      <w:marTop w:val="0"/>
      <w:marBottom w:val="0"/>
      <w:divBdr>
        <w:top w:val="none" w:sz="0" w:space="0" w:color="auto"/>
        <w:left w:val="none" w:sz="0" w:space="0" w:color="auto"/>
        <w:bottom w:val="none" w:sz="0" w:space="0" w:color="auto"/>
        <w:right w:val="none" w:sz="0" w:space="0" w:color="auto"/>
      </w:divBdr>
    </w:div>
    <w:div w:id="910575864">
      <w:bodyDiv w:val="1"/>
      <w:marLeft w:val="0"/>
      <w:marRight w:val="0"/>
      <w:marTop w:val="0"/>
      <w:marBottom w:val="0"/>
      <w:divBdr>
        <w:top w:val="none" w:sz="0" w:space="0" w:color="auto"/>
        <w:left w:val="none" w:sz="0" w:space="0" w:color="auto"/>
        <w:bottom w:val="none" w:sz="0" w:space="0" w:color="auto"/>
        <w:right w:val="none" w:sz="0" w:space="0" w:color="auto"/>
      </w:divBdr>
    </w:div>
    <w:div w:id="925844007">
      <w:bodyDiv w:val="1"/>
      <w:marLeft w:val="0"/>
      <w:marRight w:val="0"/>
      <w:marTop w:val="0"/>
      <w:marBottom w:val="0"/>
      <w:divBdr>
        <w:top w:val="none" w:sz="0" w:space="0" w:color="auto"/>
        <w:left w:val="none" w:sz="0" w:space="0" w:color="auto"/>
        <w:bottom w:val="none" w:sz="0" w:space="0" w:color="auto"/>
        <w:right w:val="none" w:sz="0" w:space="0" w:color="auto"/>
      </w:divBdr>
    </w:div>
    <w:div w:id="951471701">
      <w:bodyDiv w:val="1"/>
      <w:marLeft w:val="0"/>
      <w:marRight w:val="0"/>
      <w:marTop w:val="0"/>
      <w:marBottom w:val="0"/>
      <w:divBdr>
        <w:top w:val="none" w:sz="0" w:space="0" w:color="auto"/>
        <w:left w:val="none" w:sz="0" w:space="0" w:color="auto"/>
        <w:bottom w:val="none" w:sz="0" w:space="0" w:color="auto"/>
        <w:right w:val="none" w:sz="0" w:space="0" w:color="auto"/>
      </w:divBdr>
    </w:div>
    <w:div w:id="955142557">
      <w:bodyDiv w:val="1"/>
      <w:marLeft w:val="0"/>
      <w:marRight w:val="0"/>
      <w:marTop w:val="0"/>
      <w:marBottom w:val="0"/>
      <w:divBdr>
        <w:top w:val="none" w:sz="0" w:space="0" w:color="auto"/>
        <w:left w:val="none" w:sz="0" w:space="0" w:color="auto"/>
        <w:bottom w:val="none" w:sz="0" w:space="0" w:color="auto"/>
        <w:right w:val="none" w:sz="0" w:space="0" w:color="auto"/>
      </w:divBdr>
    </w:div>
    <w:div w:id="957642732">
      <w:bodyDiv w:val="1"/>
      <w:marLeft w:val="0"/>
      <w:marRight w:val="0"/>
      <w:marTop w:val="0"/>
      <w:marBottom w:val="0"/>
      <w:divBdr>
        <w:top w:val="none" w:sz="0" w:space="0" w:color="auto"/>
        <w:left w:val="none" w:sz="0" w:space="0" w:color="auto"/>
        <w:bottom w:val="none" w:sz="0" w:space="0" w:color="auto"/>
        <w:right w:val="none" w:sz="0" w:space="0" w:color="auto"/>
      </w:divBdr>
    </w:div>
    <w:div w:id="968508875">
      <w:bodyDiv w:val="1"/>
      <w:marLeft w:val="0"/>
      <w:marRight w:val="0"/>
      <w:marTop w:val="0"/>
      <w:marBottom w:val="0"/>
      <w:divBdr>
        <w:top w:val="none" w:sz="0" w:space="0" w:color="auto"/>
        <w:left w:val="none" w:sz="0" w:space="0" w:color="auto"/>
        <w:bottom w:val="none" w:sz="0" w:space="0" w:color="auto"/>
        <w:right w:val="none" w:sz="0" w:space="0" w:color="auto"/>
      </w:divBdr>
    </w:div>
    <w:div w:id="974678567">
      <w:bodyDiv w:val="1"/>
      <w:marLeft w:val="0"/>
      <w:marRight w:val="0"/>
      <w:marTop w:val="0"/>
      <w:marBottom w:val="0"/>
      <w:divBdr>
        <w:top w:val="none" w:sz="0" w:space="0" w:color="auto"/>
        <w:left w:val="none" w:sz="0" w:space="0" w:color="auto"/>
        <w:bottom w:val="none" w:sz="0" w:space="0" w:color="auto"/>
        <w:right w:val="none" w:sz="0" w:space="0" w:color="auto"/>
      </w:divBdr>
    </w:div>
    <w:div w:id="983969505">
      <w:bodyDiv w:val="1"/>
      <w:marLeft w:val="0"/>
      <w:marRight w:val="0"/>
      <w:marTop w:val="0"/>
      <w:marBottom w:val="0"/>
      <w:divBdr>
        <w:top w:val="none" w:sz="0" w:space="0" w:color="auto"/>
        <w:left w:val="none" w:sz="0" w:space="0" w:color="auto"/>
        <w:bottom w:val="none" w:sz="0" w:space="0" w:color="auto"/>
        <w:right w:val="none" w:sz="0" w:space="0" w:color="auto"/>
      </w:divBdr>
    </w:div>
    <w:div w:id="1013726457">
      <w:bodyDiv w:val="1"/>
      <w:marLeft w:val="0"/>
      <w:marRight w:val="0"/>
      <w:marTop w:val="0"/>
      <w:marBottom w:val="0"/>
      <w:divBdr>
        <w:top w:val="none" w:sz="0" w:space="0" w:color="auto"/>
        <w:left w:val="none" w:sz="0" w:space="0" w:color="auto"/>
        <w:bottom w:val="none" w:sz="0" w:space="0" w:color="auto"/>
        <w:right w:val="none" w:sz="0" w:space="0" w:color="auto"/>
      </w:divBdr>
    </w:div>
    <w:div w:id="1093279317">
      <w:bodyDiv w:val="1"/>
      <w:marLeft w:val="0"/>
      <w:marRight w:val="0"/>
      <w:marTop w:val="0"/>
      <w:marBottom w:val="0"/>
      <w:divBdr>
        <w:top w:val="none" w:sz="0" w:space="0" w:color="auto"/>
        <w:left w:val="none" w:sz="0" w:space="0" w:color="auto"/>
        <w:bottom w:val="none" w:sz="0" w:space="0" w:color="auto"/>
        <w:right w:val="none" w:sz="0" w:space="0" w:color="auto"/>
      </w:divBdr>
    </w:div>
    <w:div w:id="1107888651">
      <w:bodyDiv w:val="1"/>
      <w:marLeft w:val="0"/>
      <w:marRight w:val="0"/>
      <w:marTop w:val="0"/>
      <w:marBottom w:val="0"/>
      <w:divBdr>
        <w:top w:val="none" w:sz="0" w:space="0" w:color="auto"/>
        <w:left w:val="none" w:sz="0" w:space="0" w:color="auto"/>
        <w:bottom w:val="none" w:sz="0" w:space="0" w:color="auto"/>
        <w:right w:val="none" w:sz="0" w:space="0" w:color="auto"/>
      </w:divBdr>
    </w:div>
    <w:div w:id="1107889199">
      <w:bodyDiv w:val="1"/>
      <w:marLeft w:val="0"/>
      <w:marRight w:val="0"/>
      <w:marTop w:val="0"/>
      <w:marBottom w:val="0"/>
      <w:divBdr>
        <w:top w:val="none" w:sz="0" w:space="0" w:color="auto"/>
        <w:left w:val="none" w:sz="0" w:space="0" w:color="auto"/>
        <w:bottom w:val="none" w:sz="0" w:space="0" w:color="auto"/>
        <w:right w:val="none" w:sz="0" w:space="0" w:color="auto"/>
      </w:divBdr>
    </w:div>
    <w:div w:id="1116676020">
      <w:bodyDiv w:val="1"/>
      <w:marLeft w:val="0"/>
      <w:marRight w:val="0"/>
      <w:marTop w:val="0"/>
      <w:marBottom w:val="0"/>
      <w:divBdr>
        <w:top w:val="none" w:sz="0" w:space="0" w:color="auto"/>
        <w:left w:val="none" w:sz="0" w:space="0" w:color="auto"/>
        <w:bottom w:val="none" w:sz="0" w:space="0" w:color="auto"/>
        <w:right w:val="none" w:sz="0" w:space="0" w:color="auto"/>
      </w:divBdr>
    </w:div>
    <w:div w:id="1124153415">
      <w:bodyDiv w:val="1"/>
      <w:marLeft w:val="0"/>
      <w:marRight w:val="0"/>
      <w:marTop w:val="0"/>
      <w:marBottom w:val="0"/>
      <w:divBdr>
        <w:top w:val="none" w:sz="0" w:space="0" w:color="auto"/>
        <w:left w:val="none" w:sz="0" w:space="0" w:color="auto"/>
        <w:bottom w:val="none" w:sz="0" w:space="0" w:color="auto"/>
        <w:right w:val="none" w:sz="0" w:space="0" w:color="auto"/>
      </w:divBdr>
    </w:div>
    <w:div w:id="1130591492">
      <w:bodyDiv w:val="1"/>
      <w:marLeft w:val="0"/>
      <w:marRight w:val="0"/>
      <w:marTop w:val="0"/>
      <w:marBottom w:val="0"/>
      <w:divBdr>
        <w:top w:val="none" w:sz="0" w:space="0" w:color="auto"/>
        <w:left w:val="none" w:sz="0" w:space="0" w:color="auto"/>
        <w:bottom w:val="none" w:sz="0" w:space="0" w:color="auto"/>
        <w:right w:val="none" w:sz="0" w:space="0" w:color="auto"/>
      </w:divBdr>
    </w:div>
    <w:div w:id="1136219394">
      <w:bodyDiv w:val="1"/>
      <w:marLeft w:val="0"/>
      <w:marRight w:val="0"/>
      <w:marTop w:val="0"/>
      <w:marBottom w:val="0"/>
      <w:divBdr>
        <w:top w:val="none" w:sz="0" w:space="0" w:color="auto"/>
        <w:left w:val="none" w:sz="0" w:space="0" w:color="auto"/>
        <w:bottom w:val="none" w:sz="0" w:space="0" w:color="auto"/>
        <w:right w:val="none" w:sz="0" w:space="0" w:color="auto"/>
      </w:divBdr>
    </w:div>
    <w:div w:id="1150171777">
      <w:bodyDiv w:val="1"/>
      <w:marLeft w:val="0"/>
      <w:marRight w:val="0"/>
      <w:marTop w:val="0"/>
      <w:marBottom w:val="0"/>
      <w:divBdr>
        <w:top w:val="none" w:sz="0" w:space="0" w:color="auto"/>
        <w:left w:val="none" w:sz="0" w:space="0" w:color="auto"/>
        <w:bottom w:val="none" w:sz="0" w:space="0" w:color="auto"/>
        <w:right w:val="none" w:sz="0" w:space="0" w:color="auto"/>
      </w:divBdr>
    </w:div>
    <w:div w:id="1151870379">
      <w:bodyDiv w:val="1"/>
      <w:marLeft w:val="0"/>
      <w:marRight w:val="0"/>
      <w:marTop w:val="0"/>
      <w:marBottom w:val="0"/>
      <w:divBdr>
        <w:top w:val="none" w:sz="0" w:space="0" w:color="auto"/>
        <w:left w:val="none" w:sz="0" w:space="0" w:color="auto"/>
        <w:bottom w:val="none" w:sz="0" w:space="0" w:color="auto"/>
        <w:right w:val="none" w:sz="0" w:space="0" w:color="auto"/>
      </w:divBdr>
    </w:div>
    <w:div w:id="1185166077">
      <w:bodyDiv w:val="1"/>
      <w:marLeft w:val="0"/>
      <w:marRight w:val="0"/>
      <w:marTop w:val="0"/>
      <w:marBottom w:val="0"/>
      <w:divBdr>
        <w:top w:val="none" w:sz="0" w:space="0" w:color="auto"/>
        <w:left w:val="none" w:sz="0" w:space="0" w:color="auto"/>
        <w:bottom w:val="none" w:sz="0" w:space="0" w:color="auto"/>
        <w:right w:val="none" w:sz="0" w:space="0" w:color="auto"/>
      </w:divBdr>
    </w:div>
    <w:div w:id="1190071602">
      <w:bodyDiv w:val="1"/>
      <w:marLeft w:val="0"/>
      <w:marRight w:val="0"/>
      <w:marTop w:val="0"/>
      <w:marBottom w:val="0"/>
      <w:divBdr>
        <w:top w:val="none" w:sz="0" w:space="0" w:color="auto"/>
        <w:left w:val="none" w:sz="0" w:space="0" w:color="auto"/>
        <w:bottom w:val="none" w:sz="0" w:space="0" w:color="auto"/>
        <w:right w:val="none" w:sz="0" w:space="0" w:color="auto"/>
      </w:divBdr>
    </w:div>
    <w:div w:id="1190877518">
      <w:bodyDiv w:val="1"/>
      <w:marLeft w:val="0"/>
      <w:marRight w:val="0"/>
      <w:marTop w:val="0"/>
      <w:marBottom w:val="0"/>
      <w:divBdr>
        <w:top w:val="none" w:sz="0" w:space="0" w:color="auto"/>
        <w:left w:val="none" w:sz="0" w:space="0" w:color="auto"/>
        <w:bottom w:val="none" w:sz="0" w:space="0" w:color="auto"/>
        <w:right w:val="none" w:sz="0" w:space="0" w:color="auto"/>
      </w:divBdr>
    </w:div>
    <w:div w:id="1206329820">
      <w:bodyDiv w:val="1"/>
      <w:marLeft w:val="0"/>
      <w:marRight w:val="0"/>
      <w:marTop w:val="0"/>
      <w:marBottom w:val="0"/>
      <w:divBdr>
        <w:top w:val="none" w:sz="0" w:space="0" w:color="auto"/>
        <w:left w:val="none" w:sz="0" w:space="0" w:color="auto"/>
        <w:bottom w:val="none" w:sz="0" w:space="0" w:color="auto"/>
        <w:right w:val="none" w:sz="0" w:space="0" w:color="auto"/>
      </w:divBdr>
    </w:div>
    <w:div w:id="1206869490">
      <w:bodyDiv w:val="1"/>
      <w:marLeft w:val="0"/>
      <w:marRight w:val="0"/>
      <w:marTop w:val="0"/>
      <w:marBottom w:val="0"/>
      <w:divBdr>
        <w:top w:val="none" w:sz="0" w:space="0" w:color="auto"/>
        <w:left w:val="none" w:sz="0" w:space="0" w:color="auto"/>
        <w:bottom w:val="none" w:sz="0" w:space="0" w:color="auto"/>
        <w:right w:val="none" w:sz="0" w:space="0" w:color="auto"/>
      </w:divBdr>
    </w:div>
    <w:div w:id="1215312099">
      <w:bodyDiv w:val="1"/>
      <w:marLeft w:val="0"/>
      <w:marRight w:val="0"/>
      <w:marTop w:val="0"/>
      <w:marBottom w:val="0"/>
      <w:divBdr>
        <w:top w:val="none" w:sz="0" w:space="0" w:color="auto"/>
        <w:left w:val="none" w:sz="0" w:space="0" w:color="auto"/>
        <w:bottom w:val="none" w:sz="0" w:space="0" w:color="auto"/>
        <w:right w:val="none" w:sz="0" w:space="0" w:color="auto"/>
      </w:divBdr>
    </w:div>
    <w:div w:id="1225221214">
      <w:bodyDiv w:val="1"/>
      <w:marLeft w:val="0"/>
      <w:marRight w:val="0"/>
      <w:marTop w:val="0"/>
      <w:marBottom w:val="0"/>
      <w:divBdr>
        <w:top w:val="none" w:sz="0" w:space="0" w:color="auto"/>
        <w:left w:val="none" w:sz="0" w:space="0" w:color="auto"/>
        <w:bottom w:val="none" w:sz="0" w:space="0" w:color="auto"/>
        <w:right w:val="none" w:sz="0" w:space="0" w:color="auto"/>
      </w:divBdr>
    </w:div>
    <w:div w:id="1230726451">
      <w:bodyDiv w:val="1"/>
      <w:marLeft w:val="0"/>
      <w:marRight w:val="0"/>
      <w:marTop w:val="0"/>
      <w:marBottom w:val="0"/>
      <w:divBdr>
        <w:top w:val="none" w:sz="0" w:space="0" w:color="auto"/>
        <w:left w:val="none" w:sz="0" w:space="0" w:color="auto"/>
        <w:bottom w:val="none" w:sz="0" w:space="0" w:color="auto"/>
        <w:right w:val="none" w:sz="0" w:space="0" w:color="auto"/>
      </w:divBdr>
    </w:div>
    <w:div w:id="1237059125">
      <w:bodyDiv w:val="1"/>
      <w:marLeft w:val="0"/>
      <w:marRight w:val="0"/>
      <w:marTop w:val="0"/>
      <w:marBottom w:val="0"/>
      <w:divBdr>
        <w:top w:val="none" w:sz="0" w:space="0" w:color="auto"/>
        <w:left w:val="none" w:sz="0" w:space="0" w:color="auto"/>
        <w:bottom w:val="none" w:sz="0" w:space="0" w:color="auto"/>
        <w:right w:val="none" w:sz="0" w:space="0" w:color="auto"/>
      </w:divBdr>
    </w:div>
    <w:div w:id="1237713005">
      <w:bodyDiv w:val="1"/>
      <w:marLeft w:val="0"/>
      <w:marRight w:val="0"/>
      <w:marTop w:val="0"/>
      <w:marBottom w:val="0"/>
      <w:divBdr>
        <w:top w:val="none" w:sz="0" w:space="0" w:color="auto"/>
        <w:left w:val="none" w:sz="0" w:space="0" w:color="auto"/>
        <w:bottom w:val="none" w:sz="0" w:space="0" w:color="auto"/>
        <w:right w:val="none" w:sz="0" w:space="0" w:color="auto"/>
      </w:divBdr>
    </w:div>
    <w:div w:id="1258752358">
      <w:bodyDiv w:val="1"/>
      <w:marLeft w:val="0"/>
      <w:marRight w:val="0"/>
      <w:marTop w:val="0"/>
      <w:marBottom w:val="0"/>
      <w:divBdr>
        <w:top w:val="none" w:sz="0" w:space="0" w:color="auto"/>
        <w:left w:val="none" w:sz="0" w:space="0" w:color="auto"/>
        <w:bottom w:val="none" w:sz="0" w:space="0" w:color="auto"/>
        <w:right w:val="none" w:sz="0" w:space="0" w:color="auto"/>
      </w:divBdr>
    </w:div>
    <w:div w:id="1259026136">
      <w:bodyDiv w:val="1"/>
      <w:marLeft w:val="0"/>
      <w:marRight w:val="0"/>
      <w:marTop w:val="0"/>
      <w:marBottom w:val="0"/>
      <w:divBdr>
        <w:top w:val="none" w:sz="0" w:space="0" w:color="auto"/>
        <w:left w:val="none" w:sz="0" w:space="0" w:color="auto"/>
        <w:bottom w:val="none" w:sz="0" w:space="0" w:color="auto"/>
        <w:right w:val="none" w:sz="0" w:space="0" w:color="auto"/>
      </w:divBdr>
    </w:div>
    <w:div w:id="1270431240">
      <w:bodyDiv w:val="1"/>
      <w:marLeft w:val="0"/>
      <w:marRight w:val="0"/>
      <w:marTop w:val="0"/>
      <w:marBottom w:val="0"/>
      <w:divBdr>
        <w:top w:val="none" w:sz="0" w:space="0" w:color="auto"/>
        <w:left w:val="none" w:sz="0" w:space="0" w:color="auto"/>
        <w:bottom w:val="none" w:sz="0" w:space="0" w:color="auto"/>
        <w:right w:val="none" w:sz="0" w:space="0" w:color="auto"/>
      </w:divBdr>
    </w:div>
    <w:div w:id="1295333087">
      <w:bodyDiv w:val="1"/>
      <w:marLeft w:val="0"/>
      <w:marRight w:val="0"/>
      <w:marTop w:val="0"/>
      <w:marBottom w:val="0"/>
      <w:divBdr>
        <w:top w:val="none" w:sz="0" w:space="0" w:color="auto"/>
        <w:left w:val="none" w:sz="0" w:space="0" w:color="auto"/>
        <w:bottom w:val="none" w:sz="0" w:space="0" w:color="auto"/>
        <w:right w:val="none" w:sz="0" w:space="0" w:color="auto"/>
      </w:divBdr>
    </w:div>
    <w:div w:id="1309821930">
      <w:bodyDiv w:val="1"/>
      <w:marLeft w:val="0"/>
      <w:marRight w:val="0"/>
      <w:marTop w:val="0"/>
      <w:marBottom w:val="0"/>
      <w:divBdr>
        <w:top w:val="none" w:sz="0" w:space="0" w:color="auto"/>
        <w:left w:val="none" w:sz="0" w:space="0" w:color="auto"/>
        <w:bottom w:val="none" w:sz="0" w:space="0" w:color="auto"/>
        <w:right w:val="none" w:sz="0" w:space="0" w:color="auto"/>
      </w:divBdr>
    </w:div>
    <w:div w:id="1311977395">
      <w:bodyDiv w:val="1"/>
      <w:marLeft w:val="0"/>
      <w:marRight w:val="0"/>
      <w:marTop w:val="0"/>
      <w:marBottom w:val="0"/>
      <w:divBdr>
        <w:top w:val="none" w:sz="0" w:space="0" w:color="auto"/>
        <w:left w:val="none" w:sz="0" w:space="0" w:color="auto"/>
        <w:bottom w:val="none" w:sz="0" w:space="0" w:color="auto"/>
        <w:right w:val="none" w:sz="0" w:space="0" w:color="auto"/>
      </w:divBdr>
    </w:div>
    <w:div w:id="1319922705">
      <w:bodyDiv w:val="1"/>
      <w:marLeft w:val="0"/>
      <w:marRight w:val="0"/>
      <w:marTop w:val="0"/>
      <w:marBottom w:val="0"/>
      <w:divBdr>
        <w:top w:val="none" w:sz="0" w:space="0" w:color="auto"/>
        <w:left w:val="none" w:sz="0" w:space="0" w:color="auto"/>
        <w:bottom w:val="none" w:sz="0" w:space="0" w:color="auto"/>
        <w:right w:val="none" w:sz="0" w:space="0" w:color="auto"/>
      </w:divBdr>
    </w:div>
    <w:div w:id="1319923754">
      <w:bodyDiv w:val="1"/>
      <w:marLeft w:val="0"/>
      <w:marRight w:val="0"/>
      <w:marTop w:val="0"/>
      <w:marBottom w:val="0"/>
      <w:divBdr>
        <w:top w:val="none" w:sz="0" w:space="0" w:color="auto"/>
        <w:left w:val="none" w:sz="0" w:space="0" w:color="auto"/>
        <w:bottom w:val="none" w:sz="0" w:space="0" w:color="auto"/>
        <w:right w:val="none" w:sz="0" w:space="0" w:color="auto"/>
      </w:divBdr>
    </w:div>
    <w:div w:id="1320427372">
      <w:bodyDiv w:val="1"/>
      <w:marLeft w:val="0"/>
      <w:marRight w:val="0"/>
      <w:marTop w:val="0"/>
      <w:marBottom w:val="0"/>
      <w:divBdr>
        <w:top w:val="none" w:sz="0" w:space="0" w:color="auto"/>
        <w:left w:val="none" w:sz="0" w:space="0" w:color="auto"/>
        <w:bottom w:val="none" w:sz="0" w:space="0" w:color="auto"/>
        <w:right w:val="none" w:sz="0" w:space="0" w:color="auto"/>
      </w:divBdr>
    </w:div>
    <w:div w:id="1323849628">
      <w:bodyDiv w:val="1"/>
      <w:marLeft w:val="0"/>
      <w:marRight w:val="0"/>
      <w:marTop w:val="0"/>
      <w:marBottom w:val="0"/>
      <w:divBdr>
        <w:top w:val="none" w:sz="0" w:space="0" w:color="auto"/>
        <w:left w:val="none" w:sz="0" w:space="0" w:color="auto"/>
        <w:bottom w:val="none" w:sz="0" w:space="0" w:color="auto"/>
        <w:right w:val="none" w:sz="0" w:space="0" w:color="auto"/>
      </w:divBdr>
    </w:div>
    <w:div w:id="1370103753">
      <w:bodyDiv w:val="1"/>
      <w:marLeft w:val="0"/>
      <w:marRight w:val="0"/>
      <w:marTop w:val="0"/>
      <w:marBottom w:val="0"/>
      <w:divBdr>
        <w:top w:val="none" w:sz="0" w:space="0" w:color="auto"/>
        <w:left w:val="none" w:sz="0" w:space="0" w:color="auto"/>
        <w:bottom w:val="none" w:sz="0" w:space="0" w:color="auto"/>
        <w:right w:val="none" w:sz="0" w:space="0" w:color="auto"/>
      </w:divBdr>
    </w:div>
    <w:div w:id="1376928887">
      <w:bodyDiv w:val="1"/>
      <w:marLeft w:val="0"/>
      <w:marRight w:val="0"/>
      <w:marTop w:val="0"/>
      <w:marBottom w:val="0"/>
      <w:divBdr>
        <w:top w:val="none" w:sz="0" w:space="0" w:color="auto"/>
        <w:left w:val="none" w:sz="0" w:space="0" w:color="auto"/>
        <w:bottom w:val="none" w:sz="0" w:space="0" w:color="auto"/>
        <w:right w:val="none" w:sz="0" w:space="0" w:color="auto"/>
      </w:divBdr>
    </w:div>
    <w:div w:id="1382317749">
      <w:bodyDiv w:val="1"/>
      <w:marLeft w:val="0"/>
      <w:marRight w:val="0"/>
      <w:marTop w:val="0"/>
      <w:marBottom w:val="0"/>
      <w:divBdr>
        <w:top w:val="none" w:sz="0" w:space="0" w:color="auto"/>
        <w:left w:val="none" w:sz="0" w:space="0" w:color="auto"/>
        <w:bottom w:val="none" w:sz="0" w:space="0" w:color="auto"/>
        <w:right w:val="none" w:sz="0" w:space="0" w:color="auto"/>
      </w:divBdr>
    </w:div>
    <w:div w:id="1396201987">
      <w:bodyDiv w:val="1"/>
      <w:marLeft w:val="0"/>
      <w:marRight w:val="0"/>
      <w:marTop w:val="0"/>
      <w:marBottom w:val="0"/>
      <w:divBdr>
        <w:top w:val="none" w:sz="0" w:space="0" w:color="auto"/>
        <w:left w:val="none" w:sz="0" w:space="0" w:color="auto"/>
        <w:bottom w:val="none" w:sz="0" w:space="0" w:color="auto"/>
        <w:right w:val="none" w:sz="0" w:space="0" w:color="auto"/>
      </w:divBdr>
    </w:div>
    <w:div w:id="1459294740">
      <w:bodyDiv w:val="1"/>
      <w:marLeft w:val="0"/>
      <w:marRight w:val="0"/>
      <w:marTop w:val="0"/>
      <w:marBottom w:val="0"/>
      <w:divBdr>
        <w:top w:val="none" w:sz="0" w:space="0" w:color="auto"/>
        <w:left w:val="none" w:sz="0" w:space="0" w:color="auto"/>
        <w:bottom w:val="none" w:sz="0" w:space="0" w:color="auto"/>
        <w:right w:val="none" w:sz="0" w:space="0" w:color="auto"/>
      </w:divBdr>
    </w:div>
    <w:div w:id="1517815322">
      <w:bodyDiv w:val="1"/>
      <w:marLeft w:val="0"/>
      <w:marRight w:val="0"/>
      <w:marTop w:val="0"/>
      <w:marBottom w:val="0"/>
      <w:divBdr>
        <w:top w:val="none" w:sz="0" w:space="0" w:color="auto"/>
        <w:left w:val="none" w:sz="0" w:space="0" w:color="auto"/>
        <w:bottom w:val="none" w:sz="0" w:space="0" w:color="auto"/>
        <w:right w:val="none" w:sz="0" w:space="0" w:color="auto"/>
      </w:divBdr>
    </w:div>
    <w:div w:id="1525823423">
      <w:bodyDiv w:val="1"/>
      <w:marLeft w:val="0"/>
      <w:marRight w:val="0"/>
      <w:marTop w:val="0"/>
      <w:marBottom w:val="0"/>
      <w:divBdr>
        <w:top w:val="none" w:sz="0" w:space="0" w:color="auto"/>
        <w:left w:val="none" w:sz="0" w:space="0" w:color="auto"/>
        <w:bottom w:val="none" w:sz="0" w:space="0" w:color="auto"/>
        <w:right w:val="none" w:sz="0" w:space="0" w:color="auto"/>
      </w:divBdr>
    </w:div>
    <w:div w:id="1526944853">
      <w:bodyDiv w:val="1"/>
      <w:marLeft w:val="0"/>
      <w:marRight w:val="0"/>
      <w:marTop w:val="0"/>
      <w:marBottom w:val="0"/>
      <w:divBdr>
        <w:top w:val="none" w:sz="0" w:space="0" w:color="auto"/>
        <w:left w:val="none" w:sz="0" w:space="0" w:color="auto"/>
        <w:bottom w:val="none" w:sz="0" w:space="0" w:color="auto"/>
        <w:right w:val="none" w:sz="0" w:space="0" w:color="auto"/>
      </w:divBdr>
    </w:div>
    <w:div w:id="1533346805">
      <w:bodyDiv w:val="1"/>
      <w:marLeft w:val="390"/>
      <w:marRight w:val="390"/>
      <w:marTop w:val="0"/>
      <w:marBottom w:val="0"/>
      <w:divBdr>
        <w:top w:val="none" w:sz="0" w:space="0" w:color="auto"/>
        <w:left w:val="none" w:sz="0" w:space="0" w:color="auto"/>
        <w:bottom w:val="none" w:sz="0" w:space="0" w:color="auto"/>
        <w:right w:val="none" w:sz="0" w:space="0" w:color="auto"/>
      </w:divBdr>
      <w:divsChild>
        <w:div w:id="1972860031">
          <w:marLeft w:val="0"/>
          <w:marRight w:val="0"/>
          <w:marTop w:val="0"/>
          <w:marBottom w:val="0"/>
          <w:divBdr>
            <w:top w:val="none" w:sz="0" w:space="0" w:color="auto"/>
            <w:left w:val="none" w:sz="0" w:space="0" w:color="auto"/>
            <w:bottom w:val="none" w:sz="0" w:space="0" w:color="auto"/>
            <w:right w:val="none" w:sz="0" w:space="0" w:color="auto"/>
          </w:divBdr>
        </w:div>
      </w:divsChild>
    </w:div>
    <w:div w:id="1535576692">
      <w:bodyDiv w:val="1"/>
      <w:marLeft w:val="0"/>
      <w:marRight w:val="0"/>
      <w:marTop w:val="0"/>
      <w:marBottom w:val="0"/>
      <w:divBdr>
        <w:top w:val="none" w:sz="0" w:space="0" w:color="auto"/>
        <w:left w:val="none" w:sz="0" w:space="0" w:color="auto"/>
        <w:bottom w:val="none" w:sz="0" w:space="0" w:color="auto"/>
        <w:right w:val="none" w:sz="0" w:space="0" w:color="auto"/>
      </w:divBdr>
    </w:div>
    <w:div w:id="1538617985">
      <w:bodyDiv w:val="1"/>
      <w:marLeft w:val="0"/>
      <w:marRight w:val="0"/>
      <w:marTop w:val="0"/>
      <w:marBottom w:val="0"/>
      <w:divBdr>
        <w:top w:val="none" w:sz="0" w:space="0" w:color="auto"/>
        <w:left w:val="none" w:sz="0" w:space="0" w:color="auto"/>
        <w:bottom w:val="none" w:sz="0" w:space="0" w:color="auto"/>
        <w:right w:val="none" w:sz="0" w:space="0" w:color="auto"/>
      </w:divBdr>
    </w:div>
    <w:div w:id="1544637321">
      <w:bodyDiv w:val="1"/>
      <w:marLeft w:val="0"/>
      <w:marRight w:val="0"/>
      <w:marTop w:val="0"/>
      <w:marBottom w:val="0"/>
      <w:divBdr>
        <w:top w:val="none" w:sz="0" w:space="0" w:color="auto"/>
        <w:left w:val="none" w:sz="0" w:space="0" w:color="auto"/>
        <w:bottom w:val="none" w:sz="0" w:space="0" w:color="auto"/>
        <w:right w:val="none" w:sz="0" w:space="0" w:color="auto"/>
      </w:divBdr>
    </w:div>
    <w:div w:id="1589733196">
      <w:bodyDiv w:val="1"/>
      <w:marLeft w:val="0"/>
      <w:marRight w:val="0"/>
      <w:marTop w:val="0"/>
      <w:marBottom w:val="0"/>
      <w:divBdr>
        <w:top w:val="none" w:sz="0" w:space="0" w:color="auto"/>
        <w:left w:val="none" w:sz="0" w:space="0" w:color="auto"/>
        <w:bottom w:val="none" w:sz="0" w:space="0" w:color="auto"/>
        <w:right w:val="none" w:sz="0" w:space="0" w:color="auto"/>
      </w:divBdr>
    </w:div>
    <w:div w:id="1613122248">
      <w:bodyDiv w:val="1"/>
      <w:marLeft w:val="0"/>
      <w:marRight w:val="0"/>
      <w:marTop w:val="0"/>
      <w:marBottom w:val="0"/>
      <w:divBdr>
        <w:top w:val="none" w:sz="0" w:space="0" w:color="auto"/>
        <w:left w:val="none" w:sz="0" w:space="0" w:color="auto"/>
        <w:bottom w:val="none" w:sz="0" w:space="0" w:color="auto"/>
        <w:right w:val="none" w:sz="0" w:space="0" w:color="auto"/>
      </w:divBdr>
    </w:div>
    <w:div w:id="1623612253">
      <w:bodyDiv w:val="1"/>
      <w:marLeft w:val="0"/>
      <w:marRight w:val="0"/>
      <w:marTop w:val="0"/>
      <w:marBottom w:val="0"/>
      <w:divBdr>
        <w:top w:val="none" w:sz="0" w:space="0" w:color="auto"/>
        <w:left w:val="none" w:sz="0" w:space="0" w:color="auto"/>
        <w:bottom w:val="none" w:sz="0" w:space="0" w:color="auto"/>
        <w:right w:val="none" w:sz="0" w:space="0" w:color="auto"/>
      </w:divBdr>
    </w:div>
    <w:div w:id="1640451767">
      <w:bodyDiv w:val="1"/>
      <w:marLeft w:val="0"/>
      <w:marRight w:val="0"/>
      <w:marTop w:val="0"/>
      <w:marBottom w:val="0"/>
      <w:divBdr>
        <w:top w:val="none" w:sz="0" w:space="0" w:color="auto"/>
        <w:left w:val="none" w:sz="0" w:space="0" w:color="auto"/>
        <w:bottom w:val="none" w:sz="0" w:space="0" w:color="auto"/>
        <w:right w:val="none" w:sz="0" w:space="0" w:color="auto"/>
      </w:divBdr>
    </w:div>
    <w:div w:id="1653168792">
      <w:bodyDiv w:val="1"/>
      <w:marLeft w:val="0"/>
      <w:marRight w:val="0"/>
      <w:marTop w:val="0"/>
      <w:marBottom w:val="0"/>
      <w:divBdr>
        <w:top w:val="none" w:sz="0" w:space="0" w:color="auto"/>
        <w:left w:val="none" w:sz="0" w:space="0" w:color="auto"/>
        <w:bottom w:val="none" w:sz="0" w:space="0" w:color="auto"/>
        <w:right w:val="none" w:sz="0" w:space="0" w:color="auto"/>
      </w:divBdr>
    </w:div>
    <w:div w:id="1662806110">
      <w:bodyDiv w:val="1"/>
      <w:marLeft w:val="0"/>
      <w:marRight w:val="0"/>
      <w:marTop w:val="0"/>
      <w:marBottom w:val="0"/>
      <w:divBdr>
        <w:top w:val="none" w:sz="0" w:space="0" w:color="auto"/>
        <w:left w:val="none" w:sz="0" w:space="0" w:color="auto"/>
        <w:bottom w:val="none" w:sz="0" w:space="0" w:color="auto"/>
        <w:right w:val="none" w:sz="0" w:space="0" w:color="auto"/>
      </w:divBdr>
    </w:div>
    <w:div w:id="1681926135">
      <w:bodyDiv w:val="1"/>
      <w:marLeft w:val="0"/>
      <w:marRight w:val="0"/>
      <w:marTop w:val="0"/>
      <w:marBottom w:val="0"/>
      <w:divBdr>
        <w:top w:val="none" w:sz="0" w:space="0" w:color="auto"/>
        <w:left w:val="none" w:sz="0" w:space="0" w:color="auto"/>
        <w:bottom w:val="none" w:sz="0" w:space="0" w:color="auto"/>
        <w:right w:val="none" w:sz="0" w:space="0" w:color="auto"/>
      </w:divBdr>
    </w:div>
    <w:div w:id="1697348401">
      <w:bodyDiv w:val="1"/>
      <w:marLeft w:val="0"/>
      <w:marRight w:val="0"/>
      <w:marTop w:val="0"/>
      <w:marBottom w:val="0"/>
      <w:divBdr>
        <w:top w:val="none" w:sz="0" w:space="0" w:color="auto"/>
        <w:left w:val="none" w:sz="0" w:space="0" w:color="auto"/>
        <w:bottom w:val="none" w:sz="0" w:space="0" w:color="auto"/>
        <w:right w:val="none" w:sz="0" w:space="0" w:color="auto"/>
      </w:divBdr>
    </w:div>
    <w:div w:id="1709795206">
      <w:bodyDiv w:val="1"/>
      <w:marLeft w:val="0"/>
      <w:marRight w:val="0"/>
      <w:marTop w:val="0"/>
      <w:marBottom w:val="0"/>
      <w:divBdr>
        <w:top w:val="none" w:sz="0" w:space="0" w:color="auto"/>
        <w:left w:val="none" w:sz="0" w:space="0" w:color="auto"/>
        <w:bottom w:val="none" w:sz="0" w:space="0" w:color="auto"/>
        <w:right w:val="none" w:sz="0" w:space="0" w:color="auto"/>
      </w:divBdr>
    </w:div>
    <w:div w:id="1719815864">
      <w:bodyDiv w:val="1"/>
      <w:marLeft w:val="0"/>
      <w:marRight w:val="0"/>
      <w:marTop w:val="0"/>
      <w:marBottom w:val="0"/>
      <w:divBdr>
        <w:top w:val="none" w:sz="0" w:space="0" w:color="auto"/>
        <w:left w:val="none" w:sz="0" w:space="0" w:color="auto"/>
        <w:bottom w:val="none" w:sz="0" w:space="0" w:color="auto"/>
        <w:right w:val="none" w:sz="0" w:space="0" w:color="auto"/>
      </w:divBdr>
    </w:div>
    <w:div w:id="1729717996">
      <w:bodyDiv w:val="1"/>
      <w:marLeft w:val="0"/>
      <w:marRight w:val="0"/>
      <w:marTop w:val="0"/>
      <w:marBottom w:val="0"/>
      <w:divBdr>
        <w:top w:val="none" w:sz="0" w:space="0" w:color="auto"/>
        <w:left w:val="none" w:sz="0" w:space="0" w:color="auto"/>
        <w:bottom w:val="none" w:sz="0" w:space="0" w:color="auto"/>
        <w:right w:val="none" w:sz="0" w:space="0" w:color="auto"/>
      </w:divBdr>
    </w:div>
    <w:div w:id="1739597115">
      <w:bodyDiv w:val="1"/>
      <w:marLeft w:val="0"/>
      <w:marRight w:val="0"/>
      <w:marTop w:val="0"/>
      <w:marBottom w:val="0"/>
      <w:divBdr>
        <w:top w:val="none" w:sz="0" w:space="0" w:color="auto"/>
        <w:left w:val="none" w:sz="0" w:space="0" w:color="auto"/>
        <w:bottom w:val="none" w:sz="0" w:space="0" w:color="auto"/>
        <w:right w:val="none" w:sz="0" w:space="0" w:color="auto"/>
      </w:divBdr>
    </w:div>
    <w:div w:id="1746683403">
      <w:bodyDiv w:val="1"/>
      <w:marLeft w:val="0"/>
      <w:marRight w:val="0"/>
      <w:marTop w:val="0"/>
      <w:marBottom w:val="0"/>
      <w:divBdr>
        <w:top w:val="none" w:sz="0" w:space="0" w:color="auto"/>
        <w:left w:val="none" w:sz="0" w:space="0" w:color="auto"/>
        <w:bottom w:val="none" w:sz="0" w:space="0" w:color="auto"/>
        <w:right w:val="none" w:sz="0" w:space="0" w:color="auto"/>
      </w:divBdr>
    </w:div>
    <w:div w:id="1757241940">
      <w:bodyDiv w:val="1"/>
      <w:marLeft w:val="0"/>
      <w:marRight w:val="0"/>
      <w:marTop w:val="0"/>
      <w:marBottom w:val="0"/>
      <w:divBdr>
        <w:top w:val="none" w:sz="0" w:space="0" w:color="auto"/>
        <w:left w:val="none" w:sz="0" w:space="0" w:color="auto"/>
        <w:bottom w:val="none" w:sz="0" w:space="0" w:color="auto"/>
        <w:right w:val="none" w:sz="0" w:space="0" w:color="auto"/>
      </w:divBdr>
    </w:div>
    <w:div w:id="1788885933">
      <w:bodyDiv w:val="1"/>
      <w:marLeft w:val="0"/>
      <w:marRight w:val="0"/>
      <w:marTop w:val="0"/>
      <w:marBottom w:val="0"/>
      <w:divBdr>
        <w:top w:val="none" w:sz="0" w:space="0" w:color="auto"/>
        <w:left w:val="none" w:sz="0" w:space="0" w:color="auto"/>
        <w:bottom w:val="none" w:sz="0" w:space="0" w:color="auto"/>
        <w:right w:val="none" w:sz="0" w:space="0" w:color="auto"/>
      </w:divBdr>
    </w:div>
    <w:div w:id="1788891993">
      <w:bodyDiv w:val="1"/>
      <w:marLeft w:val="0"/>
      <w:marRight w:val="0"/>
      <w:marTop w:val="0"/>
      <w:marBottom w:val="0"/>
      <w:divBdr>
        <w:top w:val="none" w:sz="0" w:space="0" w:color="auto"/>
        <w:left w:val="none" w:sz="0" w:space="0" w:color="auto"/>
        <w:bottom w:val="none" w:sz="0" w:space="0" w:color="auto"/>
        <w:right w:val="none" w:sz="0" w:space="0" w:color="auto"/>
      </w:divBdr>
    </w:div>
    <w:div w:id="1805389740">
      <w:bodyDiv w:val="1"/>
      <w:marLeft w:val="0"/>
      <w:marRight w:val="0"/>
      <w:marTop w:val="0"/>
      <w:marBottom w:val="0"/>
      <w:divBdr>
        <w:top w:val="none" w:sz="0" w:space="0" w:color="auto"/>
        <w:left w:val="none" w:sz="0" w:space="0" w:color="auto"/>
        <w:bottom w:val="none" w:sz="0" w:space="0" w:color="auto"/>
        <w:right w:val="none" w:sz="0" w:space="0" w:color="auto"/>
      </w:divBdr>
    </w:div>
    <w:div w:id="1814562056">
      <w:bodyDiv w:val="1"/>
      <w:marLeft w:val="0"/>
      <w:marRight w:val="0"/>
      <w:marTop w:val="0"/>
      <w:marBottom w:val="0"/>
      <w:divBdr>
        <w:top w:val="none" w:sz="0" w:space="0" w:color="auto"/>
        <w:left w:val="none" w:sz="0" w:space="0" w:color="auto"/>
        <w:bottom w:val="none" w:sz="0" w:space="0" w:color="auto"/>
        <w:right w:val="none" w:sz="0" w:space="0" w:color="auto"/>
      </w:divBdr>
    </w:div>
    <w:div w:id="1820488974">
      <w:bodyDiv w:val="1"/>
      <w:marLeft w:val="0"/>
      <w:marRight w:val="0"/>
      <w:marTop w:val="0"/>
      <w:marBottom w:val="0"/>
      <w:divBdr>
        <w:top w:val="none" w:sz="0" w:space="0" w:color="auto"/>
        <w:left w:val="none" w:sz="0" w:space="0" w:color="auto"/>
        <w:bottom w:val="none" w:sz="0" w:space="0" w:color="auto"/>
        <w:right w:val="none" w:sz="0" w:space="0" w:color="auto"/>
      </w:divBdr>
    </w:div>
    <w:div w:id="1836795967">
      <w:bodyDiv w:val="1"/>
      <w:marLeft w:val="0"/>
      <w:marRight w:val="0"/>
      <w:marTop w:val="0"/>
      <w:marBottom w:val="0"/>
      <w:divBdr>
        <w:top w:val="none" w:sz="0" w:space="0" w:color="auto"/>
        <w:left w:val="none" w:sz="0" w:space="0" w:color="auto"/>
        <w:bottom w:val="none" w:sz="0" w:space="0" w:color="auto"/>
        <w:right w:val="none" w:sz="0" w:space="0" w:color="auto"/>
      </w:divBdr>
    </w:div>
    <w:div w:id="1841384489">
      <w:bodyDiv w:val="1"/>
      <w:marLeft w:val="0"/>
      <w:marRight w:val="0"/>
      <w:marTop w:val="0"/>
      <w:marBottom w:val="0"/>
      <w:divBdr>
        <w:top w:val="none" w:sz="0" w:space="0" w:color="auto"/>
        <w:left w:val="none" w:sz="0" w:space="0" w:color="auto"/>
        <w:bottom w:val="none" w:sz="0" w:space="0" w:color="auto"/>
        <w:right w:val="none" w:sz="0" w:space="0" w:color="auto"/>
      </w:divBdr>
    </w:div>
    <w:div w:id="1841845692">
      <w:bodyDiv w:val="1"/>
      <w:marLeft w:val="0"/>
      <w:marRight w:val="0"/>
      <w:marTop w:val="0"/>
      <w:marBottom w:val="0"/>
      <w:divBdr>
        <w:top w:val="none" w:sz="0" w:space="0" w:color="auto"/>
        <w:left w:val="none" w:sz="0" w:space="0" w:color="auto"/>
        <w:bottom w:val="none" w:sz="0" w:space="0" w:color="auto"/>
        <w:right w:val="none" w:sz="0" w:space="0" w:color="auto"/>
      </w:divBdr>
    </w:div>
    <w:div w:id="1867520596">
      <w:bodyDiv w:val="1"/>
      <w:marLeft w:val="0"/>
      <w:marRight w:val="0"/>
      <w:marTop w:val="0"/>
      <w:marBottom w:val="0"/>
      <w:divBdr>
        <w:top w:val="none" w:sz="0" w:space="0" w:color="auto"/>
        <w:left w:val="none" w:sz="0" w:space="0" w:color="auto"/>
        <w:bottom w:val="none" w:sz="0" w:space="0" w:color="auto"/>
        <w:right w:val="none" w:sz="0" w:space="0" w:color="auto"/>
      </w:divBdr>
    </w:div>
    <w:div w:id="1907766212">
      <w:bodyDiv w:val="1"/>
      <w:marLeft w:val="0"/>
      <w:marRight w:val="0"/>
      <w:marTop w:val="0"/>
      <w:marBottom w:val="0"/>
      <w:divBdr>
        <w:top w:val="none" w:sz="0" w:space="0" w:color="auto"/>
        <w:left w:val="none" w:sz="0" w:space="0" w:color="auto"/>
        <w:bottom w:val="none" w:sz="0" w:space="0" w:color="auto"/>
        <w:right w:val="none" w:sz="0" w:space="0" w:color="auto"/>
      </w:divBdr>
    </w:div>
    <w:div w:id="1911304038">
      <w:bodyDiv w:val="1"/>
      <w:marLeft w:val="0"/>
      <w:marRight w:val="0"/>
      <w:marTop w:val="0"/>
      <w:marBottom w:val="0"/>
      <w:divBdr>
        <w:top w:val="none" w:sz="0" w:space="0" w:color="auto"/>
        <w:left w:val="none" w:sz="0" w:space="0" w:color="auto"/>
        <w:bottom w:val="none" w:sz="0" w:space="0" w:color="auto"/>
        <w:right w:val="none" w:sz="0" w:space="0" w:color="auto"/>
      </w:divBdr>
    </w:div>
    <w:div w:id="1919175087">
      <w:bodyDiv w:val="1"/>
      <w:marLeft w:val="0"/>
      <w:marRight w:val="0"/>
      <w:marTop w:val="0"/>
      <w:marBottom w:val="0"/>
      <w:divBdr>
        <w:top w:val="none" w:sz="0" w:space="0" w:color="auto"/>
        <w:left w:val="none" w:sz="0" w:space="0" w:color="auto"/>
        <w:bottom w:val="none" w:sz="0" w:space="0" w:color="auto"/>
        <w:right w:val="none" w:sz="0" w:space="0" w:color="auto"/>
      </w:divBdr>
    </w:div>
    <w:div w:id="1922445784">
      <w:bodyDiv w:val="1"/>
      <w:marLeft w:val="0"/>
      <w:marRight w:val="0"/>
      <w:marTop w:val="0"/>
      <w:marBottom w:val="0"/>
      <w:divBdr>
        <w:top w:val="none" w:sz="0" w:space="0" w:color="auto"/>
        <w:left w:val="none" w:sz="0" w:space="0" w:color="auto"/>
        <w:bottom w:val="none" w:sz="0" w:space="0" w:color="auto"/>
        <w:right w:val="none" w:sz="0" w:space="0" w:color="auto"/>
      </w:divBdr>
    </w:div>
    <w:div w:id="1946231204">
      <w:bodyDiv w:val="1"/>
      <w:marLeft w:val="0"/>
      <w:marRight w:val="0"/>
      <w:marTop w:val="0"/>
      <w:marBottom w:val="0"/>
      <w:divBdr>
        <w:top w:val="none" w:sz="0" w:space="0" w:color="auto"/>
        <w:left w:val="none" w:sz="0" w:space="0" w:color="auto"/>
        <w:bottom w:val="none" w:sz="0" w:space="0" w:color="auto"/>
        <w:right w:val="none" w:sz="0" w:space="0" w:color="auto"/>
      </w:divBdr>
    </w:div>
    <w:div w:id="1947617044">
      <w:bodyDiv w:val="1"/>
      <w:marLeft w:val="0"/>
      <w:marRight w:val="0"/>
      <w:marTop w:val="0"/>
      <w:marBottom w:val="0"/>
      <w:divBdr>
        <w:top w:val="none" w:sz="0" w:space="0" w:color="auto"/>
        <w:left w:val="none" w:sz="0" w:space="0" w:color="auto"/>
        <w:bottom w:val="none" w:sz="0" w:space="0" w:color="auto"/>
        <w:right w:val="none" w:sz="0" w:space="0" w:color="auto"/>
      </w:divBdr>
    </w:div>
    <w:div w:id="1951083558">
      <w:bodyDiv w:val="1"/>
      <w:marLeft w:val="0"/>
      <w:marRight w:val="0"/>
      <w:marTop w:val="0"/>
      <w:marBottom w:val="0"/>
      <w:divBdr>
        <w:top w:val="none" w:sz="0" w:space="0" w:color="auto"/>
        <w:left w:val="none" w:sz="0" w:space="0" w:color="auto"/>
        <w:bottom w:val="none" w:sz="0" w:space="0" w:color="auto"/>
        <w:right w:val="none" w:sz="0" w:space="0" w:color="auto"/>
      </w:divBdr>
    </w:div>
    <w:div w:id="1957835169">
      <w:bodyDiv w:val="1"/>
      <w:marLeft w:val="0"/>
      <w:marRight w:val="0"/>
      <w:marTop w:val="0"/>
      <w:marBottom w:val="0"/>
      <w:divBdr>
        <w:top w:val="none" w:sz="0" w:space="0" w:color="auto"/>
        <w:left w:val="none" w:sz="0" w:space="0" w:color="auto"/>
        <w:bottom w:val="none" w:sz="0" w:space="0" w:color="auto"/>
        <w:right w:val="none" w:sz="0" w:space="0" w:color="auto"/>
      </w:divBdr>
    </w:div>
    <w:div w:id="1978802858">
      <w:bodyDiv w:val="1"/>
      <w:marLeft w:val="0"/>
      <w:marRight w:val="0"/>
      <w:marTop w:val="0"/>
      <w:marBottom w:val="0"/>
      <w:divBdr>
        <w:top w:val="none" w:sz="0" w:space="0" w:color="auto"/>
        <w:left w:val="none" w:sz="0" w:space="0" w:color="auto"/>
        <w:bottom w:val="none" w:sz="0" w:space="0" w:color="auto"/>
        <w:right w:val="none" w:sz="0" w:space="0" w:color="auto"/>
      </w:divBdr>
    </w:div>
    <w:div w:id="1979138983">
      <w:bodyDiv w:val="1"/>
      <w:marLeft w:val="0"/>
      <w:marRight w:val="0"/>
      <w:marTop w:val="0"/>
      <w:marBottom w:val="0"/>
      <w:divBdr>
        <w:top w:val="none" w:sz="0" w:space="0" w:color="auto"/>
        <w:left w:val="none" w:sz="0" w:space="0" w:color="auto"/>
        <w:bottom w:val="none" w:sz="0" w:space="0" w:color="auto"/>
        <w:right w:val="none" w:sz="0" w:space="0" w:color="auto"/>
      </w:divBdr>
    </w:div>
    <w:div w:id="2035570074">
      <w:bodyDiv w:val="1"/>
      <w:marLeft w:val="0"/>
      <w:marRight w:val="0"/>
      <w:marTop w:val="0"/>
      <w:marBottom w:val="0"/>
      <w:divBdr>
        <w:top w:val="none" w:sz="0" w:space="0" w:color="auto"/>
        <w:left w:val="none" w:sz="0" w:space="0" w:color="auto"/>
        <w:bottom w:val="none" w:sz="0" w:space="0" w:color="auto"/>
        <w:right w:val="none" w:sz="0" w:space="0" w:color="auto"/>
      </w:divBdr>
    </w:div>
    <w:div w:id="2044554057">
      <w:bodyDiv w:val="1"/>
      <w:marLeft w:val="0"/>
      <w:marRight w:val="0"/>
      <w:marTop w:val="0"/>
      <w:marBottom w:val="0"/>
      <w:divBdr>
        <w:top w:val="none" w:sz="0" w:space="0" w:color="auto"/>
        <w:left w:val="none" w:sz="0" w:space="0" w:color="auto"/>
        <w:bottom w:val="none" w:sz="0" w:space="0" w:color="auto"/>
        <w:right w:val="none" w:sz="0" w:space="0" w:color="auto"/>
      </w:divBdr>
    </w:div>
    <w:div w:id="2072075449">
      <w:bodyDiv w:val="1"/>
      <w:marLeft w:val="0"/>
      <w:marRight w:val="0"/>
      <w:marTop w:val="0"/>
      <w:marBottom w:val="0"/>
      <w:divBdr>
        <w:top w:val="none" w:sz="0" w:space="0" w:color="auto"/>
        <w:left w:val="none" w:sz="0" w:space="0" w:color="auto"/>
        <w:bottom w:val="none" w:sz="0" w:space="0" w:color="auto"/>
        <w:right w:val="none" w:sz="0" w:space="0" w:color="auto"/>
      </w:divBdr>
    </w:div>
    <w:div w:id="2095121595">
      <w:bodyDiv w:val="1"/>
      <w:marLeft w:val="0"/>
      <w:marRight w:val="0"/>
      <w:marTop w:val="0"/>
      <w:marBottom w:val="0"/>
      <w:divBdr>
        <w:top w:val="none" w:sz="0" w:space="0" w:color="auto"/>
        <w:left w:val="none" w:sz="0" w:space="0" w:color="auto"/>
        <w:bottom w:val="none" w:sz="0" w:space="0" w:color="auto"/>
        <w:right w:val="none" w:sz="0" w:space="0" w:color="auto"/>
      </w:divBdr>
    </w:div>
    <w:div w:id="2099254189">
      <w:bodyDiv w:val="1"/>
      <w:marLeft w:val="0"/>
      <w:marRight w:val="0"/>
      <w:marTop w:val="0"/>
      <w:marBottom w:val="0"/>
      <w:divBdr>
        <w:top w:val="none" w:sz="0" w:space="0" w:color="auto"/>
        <w:left w:val="none" w:sz="0" w:space="0" w:color="auto"/>
        <w:bottom w:val="none" w:sz="0" w:space="0" w:color="auto"/>
        <w:right w:val="none" w:sz="0" w:space="0" w:color="auto"/>
      </w:divBdr>
    </w:div>
    <w:div w:id="2109691790">
      <w:bodyDiv w:val="1"/>
      <w:marLeft w:val="0"/>
      <w:marRight w:val="0"/>
      <w:marTop w:val="0"/>
      <w:marBottom w:val="0"/>
      <w:divBdr>
        <w:top w:val="none" w:sz="0" w:space="0" w:color="auto"/>
        <w:left w:val="none" w:sz="0" w:space="0" w:color="auto"/>
        <w:bottom w:val="none" w:sz="0" w:space="0" w:color="auto"/>
        <w:right w:val="none" w:sz="0" w:space="0" w:color="auto"/>
      </w:divBdr>
    </w:div>
    <w:div w:id="2110931707">
      <w:bodyDiv w:val="1"/>
      <w:marLeft w:val="0"/>
      <w:marRight w:val="0"/>
      <w:marTop w:val="0"/>
      <w:marBottom w:val="0"/>
      <w:divBdr>
        <w:top w:val="none" w:sz="0" w:space="0" w:color="auto"/>
        <w:left w:val="none" w:sz="0" w:space="0" w:color="auto"/>
        <w:bottom w:val="none" w:sz="0" w:space="0" w:color="auto"/>
        <w:right w:val="none" w:sz="0" w:space="0" w:color="auto"/>
      </w:divBdr>
    </w:div>
    <w:div w:id="2117600249">
      <w:bodyDiv w:val="1"/>
      <w:marLeft w:val="0"/>
      <w:marRight w:val="0"/>
      <w:marTop w:val="0"/>
      <w:marBottom w:val="0"/>
      <w:divBdr>
        <w:top w:val="none" w:sz="0" w:space="0" w:color="auto"/>
        <w:left w:val="none" w:sz="0" w:space="0" w:color="auto"/>
        <w:bottom w:val="none" w:sz="0" w:space="0" w:color="auto"/>
        <w:right w:val="none" w:sz="0" w:space="0" w:color="auto"/>
      </w:divBdr>
    </w:div>
    <w:div w:id="21450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AZJMDCZ6QSYZ-1849078857-20526</_dlc_DocId>
    <_dlc_DocIdUrl xmlns="a494813a-d0d8-4dad-94cb-0d196f36ba15">
      <Url>https://ekoordinacije.vlada.hr/koordinacija-gospodarstvo/_layouts/15/DocIdRedir.aspx?ID=AZJMDCZ6QSYZ-1849078857-20526</Url>
      <Description>AZJMDCZ6QSYZ-1849078857-20526</Description>
    </_dlc_DocIdUrl>
  </documentManagement>
</p:properties>
</file>

<file path=customXml/item4.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E4A80-D307-44AB-8650-65E09ACA435E}">
  <ds:schemaRefs>
    <ds:schemaRef ds:uri="http://schemas.microsoft.com/sharepoint/events"/>
  </ds:schemaRefs>
</ds:datastoreItem>
</file>

<file path=customXml/itemProps2.xml><?xml version="1.0" encoding="utf-8"?>
<ds:datastoreItem xmlns:ds="http://schemas.openxmlformats.org/officeDocument/2006/customXml" ds:itemID="{26BD2D94-0924-4FE1-ADCD-BB336E0C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9BCA7-D25A-43EB-924A-467A5FEDD7EA}">
  <ds:schemaRef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4BC7CAB-C438-406F-BCEF-9B5FF211C53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A0C1607-003E-4536-8059-A548FA7F15B8}">
  <ds:schemaRefs>
    <ds:schemaRef ds:uri="http://schemas.microsoft.com/sharepoint/v3/contenttype/forms"/>
  </ds:schemaRefs>
</ds:datastoreItem>
</file>

<file path=customXml/itemProps6.xml><?xml version="1.0" encoding="utf-8"?>
<ds:datastoreItem xmlns:ds="http://schemas.openxmlformats.org/officeDocument/2006/customXml" ds:itemID="{B048E932-1E65-42B4-BC83-27524A65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7888</Words>
  <Characters>44962</Characters>
  <Application>Microsoft Office Word</Application>
  <DocSecurity>0</DocSecurity>
  <Lines>374</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MZOPUG</Company>
  <LinksUpToDate>false</LinksUpToDate>
  <CharactersWithSpaces>52745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Juras</dc:creator>
  <cp:lastModifiedBy>Sonja Tučkar</cp:lastModifiedBy>
  <cp:revision>5</cp:revision>
  <cp:lastPrinted>2022-09-20T11:35:00Z</cp:lastPrinted>
  <dcterms:created xsi:type="dcterms:W3CDTF">2022-09-20T13:17:00Z</dcterms:created>
  <dcterms:modified xsi:type="dcterms:W3CDTF">2022-09-26T10:33:00Z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a3fd73c3-144e-4ff5-aaae-0466600a183d</vt:lpwstr>
  </property>
  <property fmtid="{D5CDD505-2E9C-101B-9397-08002B2CF9AE}" pid="3" name="bjSaver">
    <vt:lpwstr>i1lsmLngPGVW28Ocqv9ndvlGp0h+sR72</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y fmtid="{D5CDD505-2E9C-101B-9397-08002B2CF9AE}" pid="8" name="ContentTypeId">
    <vt:lpwstr>0x010100E9B0585B2CC6B7498492DEAFE3511BDC</vt:lpwstr>
  </property>
  <property fmtid="{D5CDD505-2E9C-101B-9397-08002B2CF9AE}" pid="9" name="_dlc_DocIdItemGuid">
    <vt:lpwstr>11cff18e-2a00-4715-90a5-8724b5579414</vt:lpwstr>
  </property>
</Properties>
</file>